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F51AA">
      <w:pPr>
        <w:adjustRightInd w:val="0"/>
        <w:snapToGrid w:val="0"/>
        <w:spacing w:line="480" w:lineRule="exact"/>
        <w:jc w:val="center"/>
        <w:rPr>
          <w:rFonts w:hint="eastAsia" w:ascii="方正小标宋简体" w:hAnsi="方正小标宋简体" w:eastAsia="方正小标宋简体" w:cs="方正小标宋简体"/>
          <w:b w:val="0"/>
          <w:bCs/>
          <w:sz w:val="40"/>
          <w:szCs w:val="40"/>
          <w:lang w:val="en-US" w:eastAsia="zh-CN"/>
        </w:rPr>
      </w:pPr>
      <w:bookmarkStart w:id="0" w:name="_Toc26808"/>
      <w:bookmarkStart w:id="1" w:name="_Toc24152"/>
      <w:r>
        <w:rPr>
          <w:rFonts w:hint="eastAsia" w:ascii="方正小标宋简体" w:hAnsi="方正小标宋简体" w:eastAsia="方正小标宋简体" w:cs="方正小标宋简体"/>
          <w:b w:val="0"/>
          <w:bCs/>
          <w:sz w:val="40"/>
          <w:szCs w:val="40"/>
          <w:lang w:val="en-US" w:eastAsia="zh-CN"/>
        </w:rPr>
        <w:t>汽车检测与维修技术专科专业人才培养方案</w:t>
      </w:r>
      <w:bookmarkEnd w:id="0"/>
      <w:bookmarkEnd w:id="1"/>
      <w:bookmarkStart w:id="2" w:name="_Toc6388"/>
    </w:p>
    <w:p w14:paraId="5E59E32B">
      <w:pPr>
        <w:pStyle w:val="18"/>
        <w:rPr>
          <w:rFonts w:hint="eastAsia"/>
          <w:lang w:val="en-US" w:eastAsia="zh-CN"/>
        </w:rPr>
      </w:pPr>
    </w:p>
    <w:p w14:paraId="3FE6B0F3">
      <w:pPr>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一、专业代码与名称</w:t>
      </w:r>
      <w:bookmarkEnd w:id="2"/>
    </w:p>
    <w:p w14:paraId="7CCCE55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val="en-US" w:eastAsia="zh-CN"/>
        </w:rPr>
        <w:t>1.</w:t>
      </w:r>
      <w:r>
        <w:rPr>
          <w:rFonts w:hint="eastAsia" w:ascii="宋体" w:hAnsi="宋体" w:eastAsia="宋体" w:cs="宋体"/>
          <w:bCs/>
          <w:szCs w:val="21"/>
        </w:rPr>
        <w:t>专业代码：</w:t>
      </w:r>
      <w:r>
        <w:rPr>
          <w:rFonts w:hint="eastAsia" w:ascii="宋体" w:hAnsi="宋体" w:cs="宋体"/>
          <w:b w:val="0"/>
          <w:bCs/>
          <w:color w:val="000000"/>
          <w:sz w:val="21"/>
          <w:szCs w:val="21"/>
          <w:lang w:val="en-US" w:eastAsia="zh-CN"/>
        </w:rPr>
        <w:t>460701</w:t>
      </w:r>
    </w:p>
    <w:p w14:paraId="7E16A8C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val="en-US" w:eastAsia="zh-CN"/>
        </w:rPr>
        <w:t>2.</w:t>
      </w:r>
      <w:r>
        <w:rPr>
          <w:rFonts w:hint="eastAsia" w:ascii="宋体" w:hAnsi="宋体" w:eastAsia="宋体" w:cs="宋体"/>
          <w:bCs/>
          <w:szCs w:val="21"/>
        </w:rPr>
        <w:t>专业名称：</w:t>
      </w:r>
      <w:r>
        <w:rPr>
          <w:rFonts w:hint="eastAsia" w:ascii="宋体" w:hAnsi="宋体" w:eastAsia="宋体" w:cs="宋体"/>
          <w:b w:val="0"/>
          <w:bCs/>
          <w:color w:val="000000"/>
          <w:sz w:val="21"/>
          <w:szCs w:val="21"/>
        </w:rPr>
        <w:t>汽车检测与维修技术</w:t>
      </w:r>
    </w:p>
    <w:p w14:paraId="032F5871">
      <w:pPr>
        <w:adjustRightInd w:val="0"/>
        <w:snapToGrid w:val="0"/>
        <w:spacing w:line="400" w:lineRule="exact"/>
        <w:ind w:firstLine="480" w:firstLineChars="200"/>
        <w:rPr>
          <w:rFonts w:ascii="黑体" w:hAnsi="黑体" w:eastAsia="黑体" w:cs="黑体"/>
          <w:bCs/>
          <w:sz w:val="24"/>
        </w:rPr>
      </w:pPr>
      <w:bookmarkStart w:id="3" w:name="_Toc3685"/>
      <w:r>
        <w:rPr>
          <w:rFonts w:hint="eastAsia" w:ascii="黑体" w:hAnsi="黑体" w:eastAsia="黑体" w:cs="黑体"/>
          <w:bCs/>
          <w:sz w:val="24"/>
        </w:rPr>
        <w:t>二、教育类型及学历层次</w:t>
      </w:r>
      <w:bookmarkEnd w:id="3"/>
    </w:p>
    <w:p w14:paraId="2113429B">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val="en-US" w:eastAsia="zh-CN"/>
        </w:rPr>
        <w:t>1.</w:t>
      </w:r>
      <w:r>
        <w:rPr>
          <w:rFonts w:hint="eastAsia" w:ascii="宋体" w:hAnsi="宋体" w:eastAsia="宋体" w:cs="宋体"/>
          <w:bCs/>
          <w:szCs w:val="21"/>
        </w:rPr>
        <w:t>教育类型：高等职业教育</w:t>
      </w:r>
    </w:p>
    <w:p w14:paraId="521C1D4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val="en-US" w:eastAsia="zh-CN"/>
        </w:rPr>
        <w:t>2.</w:t>
      </w:r>
      <w:r>
        <w:rPr>
          <w:rFonts w:hint="eastAsia" w:ascii="宋体" w:hAnsi="宋体" w:eastAsia="宋体" w:cs="宋体"/>
          <w:bCs/>
          <w:szCs w:val="21"/>
        </w:rPr>
        <w:t>学历层次：</w:t>
      </w:r>
      <w:r>
        <w:rPr>
          <w:rFonts w:hint="eastAsia" w:ascii="宋体" w:hAnsi="宋体" w:eastAsia="宋体" w:cs="宋体"/>
          <w:bCs/>
          <w:szCs w:val="21"/>
          <w:lang w:val="en-US" w:eastAsia="zh-CN"/>
        </w:rPr>
        <w:t>专科</w:t>
      </w:r>
    </w:p>
    <w:p w14:paraId="7661135C">
      <w:pPr>
        <w:adjustRightInd w:val="0"/>
        <w:snapToGrid w:val="0"/>
        <w:spacing w:line="400" w:lineRule="exact"/>
        <w:ind w:firstLine="480" w:firstLineChars="200"/>
        <w:rPr>
          <w:rFonts w:ascii="黑体" w:hAnsi="黑体" w:eastAsia="黑体" w:cs="黑体"/>
          <w:bCs/>
          <w:sz w:val="24"/>
        </w:rPr>
      </w:pPr>
      <w:bookmarkStart w:id="4" w:name="_Toc30608"/>
      <w:r>
        <w:rPr>
          <w:rFonts w:hint="eastAsia" w:ascii="黑体" w:hAnsi="黑体" w:eastAsia="黑体" w:cs="黑体"/>
          <w:bCs/>
          <w:sz w:val="24"/>
        </w:rPr>
        <w:t>三、招生对象、学制及学习形式</w:t>
      </w:r>
      <w:bookmarkEnd w:id="4"/>
    </w:p>
    <w:p w14:paraId="3126AF6F">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val="en-US" w:eastAsia="zh-CN"/>
        </w:rPr>
        <w:t>1.</w:t>
      </w:r>
      <w:r>
        <w:rPr>
          <w:rFonts w:hint="eastAsia" w:ascii="宋体" w:hAnsi="宋体" w:eastAsia="宋体" w:cs="宋体"/>
          <w:bCs/>
          <w:szCs w:val="21"/>
        </w:rPr>
        <w:t>招收对象：高中阶段教育毕业生或具有同等学力者</w:t>
      </w:r>
    </w:p>
    <w:p w14:paraId="0A8F3529">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val="en-US" w:eastAsia="zh-CN"/>
        </w:rPr>
        <w:t>2.</w:t>
      </w:r>
      <w:r>
        <w:rPr>
          <w:rFonts w:hint="eastAsia" w:ascii="宋体" w:hAnsi="宋体" w:eastAsia="宋体" w:cs="宋体"/>
          <w:bCs/>
          <w:szCs w:val="21"/>
        </w:rPr>
        <w:t>学制：基本学制3年,弹性学制3-5年</w:t>
      </w:r>
    </w:p>
    <w:p w14:paraId="115264F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val="en-US" w:eastAsia="zh-CN"/>
        </w:rPr>
        <w:t>3.</w:t>
      </w:r>
      <w:r>
        <w:rPr>
          <w:rFonts w:hint="eastAsia" w:ascii="宋体" w:hAnsi="宋体" w:eastAsia="宋体" w:cs="宋体"/>
          <w:bCs/>
          <w:szCs w:val="21"/>
        </w:rPr>
        <w:t>学习形式：全日制</w:t>
      </w:r>
    </w:p>
    <w:p w14:paraId="6BB4A6DB">
      <w:pPr>
        <w:adjustRightInd w:val="0"/>
        <w:snapToGrid w:val="0"/>
        <w:spacing w:line="400" w:lineRule="exact"/>
        <w:ind w:firstLine="480" w:firstLineChars="200"/>
        <w:rPr>
          <w:rFonts w:hint="default" w:ascii="黑体" w:hAnsi="黑体" w:eastAsia="黑体" w:cs="黑体"/>
          <w:bCs/>
          <w:sz w:val="24"/>
          <w:lang w:val="en-US" w:eastAsia="zh-CN"/>
        </w:rPr>
      </w:pPr>
      <w:r>
        <w:rPr>
          <w:rFonts w:hint="eastAsia" w:ascii="黑体" w:hAnsi="黑体" w:eastAsia="黑体" w:cs="黑体"/>
          <w:bCs/>
          <w:sz w:val="24"/>
        </w:rPr>
        <w:t>四、职业面向</w:t>
      </w:r>
      <w:r>
        <w:rPr>
          <w:rFonts w:hint="eastAsia" w:ascii="黑体" w:hAnsi="黑体" w:eastAsia="黑体" w:cs="黑体"/>
          <w:bCs/>
          <w:sz w:val="24"/>
          <w:lang w:val="en-US" w:eastAsia="zh-CN"/>
        </w:rPr>
        <w:t>及发展路径</w:t>
      </w:r>
    </w:p>
    <w:p w14:paraId="6FFC529C">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（一）毕业生职业面向</w:t>
      </w:r>
    </w:p>
    <w:p w14:paraId="28B28212">
      <w:pPr>
        <w:pStyle w:val="18"/>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default"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表1  毕业生职业面向表</w:t>
      </w:r>
    </w:p>
    <w:tbl>
      <w:tblPr>
        <w:tblStyle w:val="13"/>
        <w:tblW w:w="8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276"/>
        <w:gridCol w:w="1134"/>
        <w:gridCol w:w="2050"/>
        <w:gridCol w:w="1530"/>
        <w:gridCol w:w="1599"/>
      </w:tblGrid>
      <w:tr w14:paraId="3740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384" w:type="dxa"/>
            <w:vAlign w:val="center"/>
          </w:tcPr>
          <w:p w14:paraId="1CCFEB1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5" w:name="_Toc3015"/>
            <w:r>
              <w:rPr>
                <w:rFonts w:hint="eastAsia" w:ascii="Times New Roman" w:hAnsi="Times New Roman" w:eastAsia="黑体" w:cs="Times New Roman"/>
                <w:b w:val="0"/>
                <w:bCs/>
                <w:color w:val="auto"/>
                <w:sz w:val="18"/>
                <w:szCs w:val="18"/>
                <w:lang w:val="en-US" w:eastAsia="zh-CN"/>
              </w:rPr>
              <w:t>所属</w:t>
            </w:r>
          </w:p>
          <w:p w14:paraId="02854A6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专业大类</w:t>
            </w:r>
            <w:bookmarkEnd w:id="5"/>
          </w:p>
          <w:p w14:paraId="23C0080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6" w:name="_Toc7017"/>
            <w:r>
              <w:rPr>
                <w:rFonts w:hint="eastAsia" w:ascii="Times New Roman" w:hAnsi="Times New Roman" w:eastAsia="黑体" w:cs="Times New Roman"/>
                <w:b w:val="0"/>
                <w:bCs/>
                <w:color w:val="auto"/>
                <w:sz w:val="18"/>
                <w:szCs w:val="18"/>
                <w:lang w:val="en-US" w:eastAsia="zh-CN"/>
              </w:rPr>
              <w:t>（代码）</w:t>
            </w:r>
            <w:bookmarkEnd w:id="6"/>
          </w:p>
        </w:tc>
        <w:tc>
          <w:tcPr>
            <w:tcW w:w="1276" w:type="dxa"/>
            <w:vAlign w:val="center"/>
          </w:tcPr>
          <w:p w14:paraId="3062997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7" w:name="_Toc5468"/>
            <w:r>
              <w:rPr>
                <w:rFonts w:hint="eastAsia" w:ascii="Times New Roman" w:hAnsi="Times New Roman" w:eastAsia="黑体" w:cs="Times New Roman"/>
                <w:b w:val="0"/>
                <w:bCs/>
                <w:color w:val="auto"/>
                <w:sz w:val="18"/>
                <w:szCs w:val="18"/>
                <w:lang w:val="en-US" w:eastAsia="zh-CN"/>
              </w:rPr>
              <w:t>所属</w:t>
            </w:r>
          </w:p>
          <w:p w14:paraId="4AAF5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专业类</w:t>
            </w:r>
            <w:bookmarkEnd w:id="7"/>
          </w:p>
          <w:p w14:paraId="4C75C36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8" w:name="_Toc17385"/>
            <w:r>
              <w:rPr>
                <w:rFonts w:hint="eastAsia" w:ascii="Times New Roman" w:hAnsi="Times New Roman" w:eastAsia="黑体" w:cs="Times New Roman"/>
                <w:b w:val="0"/>
                <w:bCs/>
                <w:color w:val="auto"/>
                <w:sz w:val="18"/>
                <w:szCs w:val="18"/>
                <w:lang w:val="en-US" w:eastAsia="zh-CN"/>
              </w:rPr>
              <w:t>（代码）</w:t>
            </w:r>
            <w:bookmarkEnd w:id="8"/>
          </w:p>
        </w:tc>
        <w:tc>
          <w:tcPr>
            <w:tcW w:w="1134" w:type="dxa"/>
            <w:vAlign w:val="center"/>
          </w:tcPr>
          <w:p w14:paraId="77AB9EB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9" w:name="_Toc24132"/>
            <w:r>
              <w:rPr>
                <w:rFonts w:hint="eastAsia" w:ascii="Times New Roman" w:hAnsi="Times New Roman" w:eastAsia="黑体" w:cs="Times New Roman"/>
                <w:b w:val="0"/>
                <w:bCs/>
                <w:color w:val="auto"/>
                <w:sz w:val="18"/>
                <w:szCs w:val="18"/>
                <w:lang w:val="en-US" w:eastAsia="zh-CN"/>
              </w:rPr>
              <w:t>对应行业</w:t>
            </w:r>
            <w:bookmarkEnd w:id="9"/>
          </w:p>
          <w:p w14:paraId="2FCF3C5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0" w:name="_Toc27551"/>
            <w:r>
              <w:rPr>
                <w:rFonts w:hint="eastAsia" w:ascii="Times New Roman" w:hAnsi="Times New Roman" w:eastAsia="黑体" w:cs="Times New Roman"/>
                <w:b w:val="0"/>
                <w:bCs/>
                <w:color w:val="auto"/>
                <w:sz w:val="18"/>
                <w:szCs w:val="18"/>
                <w:lang w:val="en-US" w:eastAsia="zh-CN"/>
              </w:rPr>
              <w:t>（代码）</w:t>
            </w:r>
            <w:bookmarkEnd w:id="10"/>
          </w:p>
        </w:tc>
        <w:tc>
          <w:tcPr>
            <w:tcW w:w="2050" w:type="dxa"/>
            <w:vAlign w:val="center"/>
          </w:tcPr>
          <w:p w14:paraId="7FF8930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1" w:name="_Toc758"/>
            <w:r>
              <w:rPr>
                <w:rFonts w:hint="eastAsia" w:ascii="Times New Roman" w:hAnsi="Times New Roman" w:eastAsia="黑体" w:cs="Times New Roman"/>
                <w:b w:val="0"/>
                <w:bCs/>
                <w:color w:val="auto"/>
                <w:sz w:val="18"/>
                <w:szCs w:val="18"/>
                <w:lang w:val="en-US" w:eastAsia="zh-CN"/>
              </w:rPr>
              <w:t>主要职业类别</w:t>
            </w:r>
            <w:bookmarkEnd w:id="11"/>
          </w:p>
          <w:p w14:paraId="20FBB0C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2" w:name="_Toc16554"/>
            <w:r>
              <w:rPr>
                <w:rFonts w:hint="eastAsia" w:ascii="Times New Roman" w:hAnsi="Times New Roman" w:eastAsia="黑体" w:cs="Times New Roman"/>
                <w:b w:val="0"/>
                <w:bCs/>
                <w:color w:val="auto"/>
                <w:sz w:val="18"/>
                <w:szCs w:val="18"/>
                <w:lang w:val="en-US" w:eastAsia="zh-CN"/>
              </w:rPr>
              <w:t>（代码）</w:t>
            </w:r>
            <w:bookmarkEnd w:id="12"/>
          </w:p>
        </w:tc>
        <w:tc>
          <w:tcPr>
            <w:tcW w:w="1530" w:type="dxa"/>
            <w:vAlign w:val="center"/>
          </w:tcPr>
          <w:p w14:paraId="5069A1D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3" w:name="_Toc30357"/>
            <w:r>
              <w:rPr>
                <w:rFonts w:hint="eastAsia" w:ascii="Times New Roman" w:hAnsi="Times New Roman" w:eastAsia="黑体" w:cs="Times New Roman"/>
                <w:b w:val="0"/>
                <w:bCs/>
                <w:color w:val="auto"/>
                <w:sz w:val="18"/>
                <w:szCs w:val="18"/>
                <w:lang w:val="en-US" w:eastAsia="zh-CN"/>
              </w:rPr>
              <w:t>主要岗位群或技术领域</w:t>
            </w:r>
            <w:bookmarkEnd w:id="13"/>
          </w:p>
        </w:tc>
        <w:tc>
          <w:tcPr>
            <w:tcW w:w="1599" w:type="dxa"/>
            <w:vAlign w:val="center"/>
          </w:tcPr>
          <w:p w14:paraId="1928811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color w:val="auto"/>
                <w:sz w:val="18"/>
                <w:szCs w:val="18"/>
                <w:lang w:val="en-US" w:eastAsia="zh-CN"/>
              </w:rPr>
            </w:pPr>
            <w:bookmarkStart w:id="14" w:name="_Toc22834"/>
            <w:r>
              <w:rPr>
                <w:rFonts w:hint="eastAsia" w:ascii="Times New Roman" w:hAnsi="Times New Roman" w:eastAsia="黑体" w:cs="Times New Roman"/>
                <w:b w:val="0"/>
                <w:bCs/>
                <w:color w:val="auto"/>
                <w:sz w:val="18"/>
                <w:szCs w:val="18"/>
                <w:lang w:val="en-US" w:eastAsia="zh-CN"/>
              </w:rPr>
              <w:t>职业资格证书和职业技能等级证书举例</w:t>
            </w:r>
            <w:bookmarkEnd w:id="14"/>
          </w:p>
        </w:tc>
      </w:tr>
      <w:tr w14:paraId="7854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384" w:type="dxa"/>
            <w:vAlign w:val="center"/>
          </w:tcPr>
          <w:p w14:paraId="4AF6FC15">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装备制造大类（</w:t>
            </w:r>
            <w:r>
              <w:rPr>
                <w:rFonts w:hint="eastAsia" w:ascii="宋体" w:hAnsi="宋体" w:cs="Times New Roman"/>
                <w:kern w:val="0"/>
                <w:sz w:val="18"/>
                <w:szCs w:val="18"/>
                <w:lang w:val="en-US" w:eastAsia="zh-CN"/>
              </w:rPr>
              <w:t>4</w:t>
            </w:r>
            <w:r>
              <w:rPr>
                <w:rFonts w:hint="eastAsia" w:ascii="宋体" w:hAnsi="宋体" w:eastAsia="宋体" w:cs="Times New Roman"/>
                <w:kern w:val="0"/>
                <w:sz w:val="18"/>
                <w:szCs w:val="18"/>
                <w:lang w:val="en-US" w:eastAsia="zh-CN"/>
              </w:rPr>
              <w:t>6）</w:t>
            </w:r>
          </w:p>
        </w:tc>
        <w:tc>
          <w:tcPr>
            <w:tcW w:w="1276" w:type="dxa"/>
            <w:vAlign w:val="center"/>
          </w:tcPr>
          <w:p w14:paraId="7EF8BC21">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汽车制造</w:t>
            </w:r>
            <w:r>
              <w:rPr>
                <w:rFonts w:hint="eastAsia" w:ascii="宋体" w:hAnsi="宋体" w:eastAsia="宋体" w:cs="Times New Roman"/>
                <w:kern w:val="0"/>
                <w:sz w:val="18"/>
                <w:szCs w:val="18"/>
              </w:rPr>
              <w:t>类</w:t>
            </w:r>
          </w:p>
          <w:p w14:paraId="41514A36">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ascii="宋体" w:hAnsi="宋体" w:eastAsia="宋体" w:cs="Times New Roman"/>
                <w:kern w:val="0"/>
                <w:sz w:val="18"/>
                <w:szCs w:val="18"/>
              </w:rPr>
            </w:pPr>
            <w:r>
              <w:rPr>
                <w:rFonts w:hint="eastAsia" w:ascii="宋体" w:hAnsi="宋体" w:eastAsia="宋体" w:cs="Times New Roman"/>
                <w:kern w:val="0"/>
                <w:sz w:val="18"/>
                <w:szCs w:val="18"/>
              </w:rPr>
              <w:t>（</w:t>
            </w:r>
            <w:r>
              <w:rPr>
                <w:rFonts w:hint="eastAsia" w:ascii="宋体" w:hAnsi="宋体" w:cs="Times New Roman"/>
                <w:kern w:val="0"/>
                <w:sz w:val="18"/>
                <w:szCs w:val="18"/>
                <w:lang w:val="en-US" w:eastAsia="zh-CN"/>
              </w:rPr>
              <w:t>4</w:t>
            </w:r>
            <w:r>
              <w:rPr>
                <w:rFonts w:hint="eastAsia" w:ascii="宋体" w:hAnsi="宋体" w:eastAsia="宋体" w:cs="Times New Roman"/>
                <w:kern w:val="0"/>
                <w:sz w:val="18"/>
                <w:szCs w:val="18"/>
                <w:lang w:val="en-US" w:eastAsia="zh-CN"/>
              </w:rPr>
              <w:t>607</w:t>
            </w:r>
            <w:r>
              <w:rPr>
                <w:rFonts w:hint="eastAsia" w:ascii="宋体" w:hAnsi="宋体" w:eastAsia="宋体" w:cs="Times New Roman"/>
                <w:kern w:val="0"/>
                <w:sz w:val="18"/>
                <w:szCs w:val="18"/>
              </w:rPr>
              <w:t>）</w:t>
            </w:r>
          </w:p>
        </w:tc>
        <w:tc>
          <w:tcPr>
            <w:tcW w:w="1134" w:type="dxa"/>
            <w:vAlign w:val="center"/>
          </w:tcPr>
          <w:p w14:paraId="0523D6F6">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ascii="宋体" w:hAnsi="宋体" w:eastAsia="宋体" w:cs="Times New Roman"/>
                <w:kern w:val="0"/>
                <w:sz w:val="18"/>
                <w:szCs w:val="18"/>
              </w:rPr>
            </w:pPr>
            <w:r>
              <w:rPr>
                <w:rFonts w:hint="eastAsia" w:ascii="宋体" w:hAnsi="宋体" w:eastAsia="宋体" w:cs="Times New Roman"/>
                <w:kern w:val="0"/>
                <w:sz w:val="18"/>
                <w:szCs w:val="18"/>
              </w:rPr>
              <w:t>汽车制造业(36)</w:t>
            </w:r>
            <w:r>
              <w:rPr>
                <w:rFonts w:hint="eastAsia" w:ascii="宋体" w:hAnsi="宋体" w:eastAsia="宋体" w:cs="Times New Roman"/>
                <w:kern w:val="0"/>
                <w:sz w:val="18"/>
                <w:szCs w:val="18"/>
                <w:lang w:eastAsia="zh-CN"/>
              </w:rPr>
              <w:t>；</w:t>
            </w:r>
            <w:r>
              <w:rPr>
                <w:rFonts w:hint="eastAsia" w:ascii="宋体" w:hAnsi="宋体" w:eastAsia="宋体" w:cs="Times New Roman"/>
                <w:kern w:val="0"/>
                <w:sz w:val="18"/>
                <w:szCs w:val="18"/>
              </w:rPr>
              <w:t>汽车、摩托车等修理与维护(811)</w:t>
            </w:r>
          </w:p>
        </w:tc>
        <w:tc>
          <w:tcPr>
            <w:tcW w:w="2050" w:type="dxa"/>
            <w:vAlign w:val="center"/>
          </w:tcPr>
          <w:p w14:paraId="6007600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汽车整车制造人员(6-22-02)；汽车摩托车修理技术服务人员(4-12-01)</w:t>
            </w:r>
          </w:p>
        </w:tc>
        <w:tc>
          <w:tcPr>
            <w:tcW w:w="1530" w:type="dxa"/>
            <w:vAlign w:val="center"/>
          </w:tcPr>
          <w:p w14:paraId="3C8A9D71">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ascii="宋体" w:hAnsi="宋体" w:eastAsia="宋体" w:cs="Times New Roman"/>
                <w:kern w:val="0"/>
                <w:sz w:val="18"/>
                <w:szCs w:val="18"/>
              </w:rPr>
            </w:pPr>
            <w:r>
              <w:rPr>
                <w:rFonts w:hint="eastAsia" w:ascii="宋体" w:hAnsi="宋体" w:eastAsia="宋体" w:cs="Times New Roman"/>
                <w:kern w:val="0"/>
                <w:sz w:val="18"/>
                <w:szCs w:val="18"/>
              </w:rPr>
              <w:t>汽车质量与性能检测</w:t>
            </w:r>
            <w:r>
              <w:rPr>
                <w:rFonts w:hint="eastAsia" w:ascii="宋体" w:hAnsi="宋体" w:eastAsia="宋体" w:cs="Times New Roman"/>
                <w:kern w:val="0"/>
                <w:sz w:val="18"/>
                <w:szCs w:val="18"/>
                <w:lang w:eastAsia="zh-CN"/>
              </w:rPr>
              <w:t>；</w:t>
            </w:r>
            <w:r>
              <w:rPr>
                <w:rFonts w:hint="eastAsia" w:ascii="宋体" w:hAnsi="宋体" w:eastAsia="宋体" w:cs="Times New Roman"/>
                <w:kern w:val="0"/>
                <w:sz w:val="18"/>
                <w:szCs w:val="18"/>
              </w:rPr>
              <w:t>汽车故障返修</w:t>
            </w:r>
            <w:r>
              <w:rPr>
                <w:rFonts w:hint="eastAsia" w:ascii="宋体" w:hAnsi="宋体" w:eastAsia="宋体" w:cs="Times New Roman"/>
                <w:kern w:val="0"/>
                <w:sz w:val="18"/>
                <w:szCs w:val="18"/>
                <w:lang w:eastAsia="zh-CN"/>
              </w:rPr>
              <w:t>；</w:t>
            </w:r>
            <w:r>
              <w:rPr>
                <w:rFonts w:hint="eastAsia" w:ascii="宋体" w:hAnsi="宋体" w:eastAsia="宋体" w:cs="Times New Roman"/>
                <w:kern w:val="0"/>
                <w:sz w:val="18"/>
                <w:szCs w:val="18"/>
              </w:rPr>
              <w:t>汽车机电维修</w:t>
            </w:r>
            <w:r>
              <w:rPr>
                <w:rFonts w:hint="eastAsia" w:ascii="宋体" w:hAnsi="宋体" w:eastAsia="宋体" w:cs="Times New Roman"/>
                <w:kern w:val="0"/>
                <w:sz w:val="18"/>
                <w:szCs w:val="18"/>
                <w:lang w:eastAsia="zh-CN"/>
              </w:rPr>
              <w:t>；</w:t>
            </w:r>
            <w:r>
              <w:rPr>
                <w:rFonts w:hint="eastAsia" w:ascii="宋体" w:hAnsi="宋体" w:eastAsia="宋体" w:cs="Times New Roman"/>
                <w:kern w:val="0"/>
                <w:sz w:val="18"/>
                <w:szCs w:val="18"/>
              </w:rPr>
              <w:t>服务顾问</w:t>
            </w:r>
          </w:p>
        </w:tc>
        <w:tc>
          <w:tcPr>
            <w:tcW w:w="1599" w:type="dxa"/>
            <w:vAlign w:val="center"/>
          </w:tcPr>
          <w:p w14:paraId="3AF98787">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sz w:val="18"/>
                <w:szCs w:val="18"/>
                <w:lang w:val="en-US" w:eastAsia="zh-CN"/>
              </w:rPr>
            </w:pPr>
            <w:r>
              <w:rPr>
                <w:rFonts w:hint="eastAsia" w:ascii="Times New Roman" w:hAnsi="Times New Roman" w:eastAsia="宋体" w:cs="Times New Roman"/>
                <w:kern w:val="0"/>
                <w:sz w:val="18"/>
                <w:szCs w:val="18"/>
                <w:lang w:val="en-US" w:eastAsia="zh-CN"/>
              </w:rPr>
              <w:t>汽车修理工</w:t>
            </w:r>
          </w:p>
          <w:p w14:paraId="1FE23B52">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二手车鉴定评估师</w:t>
            </w:r>
          </w:p>
        </w:tc>
      </w:tr>
    </w:tbl>
    <w:p w14:paraId="06274484">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default" w:ascii="宋体" w:hAnsi="宋体" w:eastAsia="宋体" w:cs="宋体"/>
          <w:b/>
          <w:bCs w:val="0"/>
          <w:szCs w:val="32"/>
          <w:highlight w:val="yellow"/>
          <w:lang w:val="en-US" w:eastAsia="zh-CN"/>
        </w:rPr>
      </w:pPr>
      <w:r>
        <w:rPr>
          <w:rFonts w:hint="eastAsia" w:ascii="宋体" w:hAnsi="宋体" w:eastAsia="宋体" w:cs="宋体"/>
          <w:b/>
          <w:bCs w:val="0"/>
          <w:szCs w:val="32"/>
          <w:lang w:val="en-US" w:eastAsia="zh-CN"/>
        </w:rPr>
        <w:t>（二）</w:t>
      </w:r>
      <w:r>
        <w:rPr>
          <w:rFonts w:hint="eastAsia" w:ascii="宋体" w:hAnsi="宋体" w:eastAsia="宋体" w:cs="宋体"/>
          <w:b/>
          <w:bCs w:val="0"/>
          <w:szCs w:val="21"/>
          <w:lang w:val="en-US" w:eastAsia="zh-CN"/>
        </w:rPr>
        <w:t>毕业生职业发展路径</w:t>
      </w:r>
    </w:p>
    <w:p w14:paraId="059D0DFD">
      <w:pPr>
        <w:pStyle w:val="18"/>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default"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表2  毕业生职业发展路径表</w:t>
      </w:r>
    </w:p>
    <w:tbl>
      <w:tblPr>
        <w:tblStyle w:val="14"/>
        <w:tblW w:w="9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1777"/>
        <w:gridCol w:w="5639"/>
      </w:tblGrid>
      <w:tr w14:paraId="7EEE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31" w:type="dxa"/>
            <w:vAlign w:val="center"/>
          </w:tcPr>
          <w:p w14:paraId="1BBE2ABE">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岗位类型</w:t>
            </w:r>
          </w:p>
        </w:tc>
        <w:tc>
          <w:tcPr>
            <w:tcW w:w="1777" w:type="dxa"/>
            <w:vAlign w:val="center"/>
          </w:tcPr>
          <w:p w14:paraId="0BFEE872">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岗位名称</w:t>
            </w:r>
          </w:p>
        </w:tc>
        <w:tc>
          <w:tcPr>
            <w:tcW w:w="5639" w:type="dxa"/>
            <w:vAlign w:val="center"/>
          </w:tcPr>
          <w:p w14:paraId="4DE8FD69">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岗位要求</w:t>
            </w:r>
          </w:p>
        </w:tc>
      </w:tr>
      <w:tr w14:paraId="69BA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1631" w:type="dxa"/>
            <w:vMerge w:val="restart"/>
            <w:vAlign w:val="center"/>
          </w:tcPr>
          <w:p w14:paraId="3D638D3A">
            <w:pPr>
              <w:keepNext w:val="0"/>
              <w:keepLines w:val="0"/>
              <w:widowControl/>
              <w:suppressLineNumbers w:val="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目标岗位</w:t>
            </w:r>
          </w:p>
        </w:tc>
        <w:tc>
          <w:tcPr>
            <w:tcW w:w="1777" w:type="dxa"/>
            <w:vAlign w:val="center"/>
          </w:tcPr>
          <w:p w14:paraId="366E2CB7">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汽车机电维修工</w:t>
            </w:r>
          </w:p>
          <w:p w14:paraId="742D5124">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p>
        </w:tc>
        <w:tc>
          <w:tcPr>
            <w:tcW w:w="5639" w:type="dxa"/>
          </w:tcPr>
          <w:p w14:paraId="5911D8EB">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1.汽车零部件维修；</w:t>
            </w:r>
          </w:p>
          <w:p w14:paraId="1D7F94E7">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2.汽车发动机维修；</w:t>
            </w:r>
          </w:p>
          <w:p w14:paraId="591536A4">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3.汽车底盘维修；</w:t>
            </w:r>
          </w:p>
          <w:p w14:paraId="4D2CCDCA">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4.汽车电器维修；</w:t>
            </w:r>
          </w:p>
          <w:p w14:paraId="62128BFD">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5.汽车车身维修；</w:t>
            </w:r>
          </w:p>
          <w:p w14:paraId="38BFBEC0">
            <w:pPr>
              <w:keepNext w:val="0"/>
              <w:keepLines w:val="0"/>
              <w:widowControl/>
              <w:suppressLineNumbers w:val="0"/>
              <w:jc w:val="left"/>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6.汽车日常维护与保养</w:t>
            </w:r>
            <w:r>
              <w:rPr>
                <w:rFonts w:hint="eastAsia" w:ascii="仿宋" w:hAnsi="仿宋" w:eastAsia="仿宋" w:cs="仿宋"/>
                <w:iCs/>
                <w:color w:val="000000"/>
                <w:kern w:val="0"/>
                <w:sz w:val="24"/>
                <w:szCs w:val="24"/>
              </w:rPr>
              <w:t>。</w:t>
            </w:r>
          </w:p>
        </w:tc>
      </w:tr>
      <w:tr w14:paraId="631D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1631" w:type="dxa"/>
            <w:vMerge w:val="continue"/>
          </w:tcPr>
          <w:p w14:paraId="05E15342">
            <w:pPr>
              <w:adjustRightInd w:val="0"/>
              <w:snapToGrid w:val="0"/>
              <w:spacing w:line="400" w:lineRule="exact"/>
              <w:rPr>
                <w:rFonts w:hint="eastAsia" w:asciiTheme="minorEastAsia" w:hAnsiTheme="minorEastAsia" w:eastAsiaTheme="minorEastAsia" w:cstheme="minorEastAsia"/>
                <w:bCs/>
                <w:i w:val="0"/>
                <w:iCs w:val="0"/>
                <w:color w:val="auto"/>
                <w:sz w:val="18"/>
                <w:szCs w:val="18"/>
                <w:vertAlign w:val="baseline"/>
                <w:lang w:val="en-US" w:eastAsia="zh-CN"/>
              </w:rPr>
            </w:pPr>
          </w:p>
        </w:tc>
        <w:tc>
          <w:tcPr>
            <w:tcW w:w="1777" w:type="dxa"/>
            <w:vAlign w:val="center"/>
          </w:tcPr>
          <w:p w14:paraId="46CB07E0">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汽车维修质检员</w:t>
            </w:r>
          </w:p>
          <w:p w14:paraId="2D6CF9EA">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p>
        </w:tc>
        <w:tc>
          <w:tcPr>
            <w:tcW w:w="5639" w:type="dxa"/>
          </w:tcPr>
          <w:p w14:paraId="263C45E3">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1.机修车间的维修质检；</w:t>
            </w:r>
          </w:p>
          <w:p w14:paraId="3A1D09D7">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2.钣金车间的维修质检；</w:t>
            </w:r>
          </w:p>
          <w:p w14:paraId="2BC2B3E6">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3.喷漆车间的维修质检；</w:t>
            </w:r>
          </w:p>
          <w:p w14:paraId="6A0E4711">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4.返修车辆的质量监督及检查；</w:t>
            </w:r>
          </w:p>
          <w:p w14:paraId="0BEDECF1">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5.事故车辆的质量监督及检查；</w:t>
            </w:r>
          </w:p>
          <w:p w14:paraId="5C167F6F">
            <w:pPr>
              <w:keepNext w:val="0"/>
              <w:keepLines w:val="0"/>
              <w:widowControl/>
              <w:suppressLineNumbers w:val="0"/>
              <w:jc w:val="left"/>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6.制定并实施质量指标、质量改善计划</w:t>
            </w:r>
          </w:p>
        </w:tc>
      </w:tr>
      <w:tr w14:paraId="4C3BE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1631" w:type="dxa"/>
            <w:vAlign w:val="center"/>
          </w:tcPr>
          <w:p w14:paraId="367C01C6">
            <w:pPr>
              <w:keepNext w:val="0"/>
              <w:keepLines w:val="0"/>
              <w:widowControl/>
              <w:suppressLineNumbers w:val="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发展岗位</w:t>
            </w:r>
          </w:p>
        </w:tc>
        <w:tc>
          <w:tcPr>
            <w:tcW w:w="1777" w:type="dxa"/>
            <w:vAlign w:val="center"/>
          </w:tcPr>
          <w:p w14:paraId="088A4F66">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汽车售后服务顾问</w:t>
            </w:r>
          </w:p>
        </w:tc>
        <w:tc>
          <w:tcPr>
            <w:tcW w:w="5639" w:type="dxa"/>
            <w:shd w:val="clear" w:color="auto" w:fill="auto"/>
            <w:vAlign w:val="center"/>
          </w:tcPr>
          <w:p w14:paraId="6F369BE2">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1.客户接待；</w:t>
            </w:r>
          </w:p>
          <w:p w14:paraId="149F66A9">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2.检查并确定汽车维修内容；</w:t>
            </w:r>
          </w:p>
          <w:p w14:paraId="38B37471">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3.与客户沟通；</w:t>
            </w:r>
          </w:p>
          <w:p w14:paraId="12ACA3EF">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4.客户服务跟踪。</w:t>
            </w:r>
          </w:p>
        </w:tc>
      </w:tr>
      <w:tr w14:paraId="2FC2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631" w:type="dxa"/>
            <w:vAlign w:val="center"/>
          </w:tcPr>
          <w:p w14:paraId="3E6FDCD4">
            <w:pPr>
              <w:keepNext w:val="0"/>
              <w:keepLines w:val="0"/>
              <w:widowControl/>
              <w:suppressLineNumbers w:val="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迁移岗位</w:t>
            </w:r>
          </w:p>
        </w:tc>
        <w:tc>
          <w:tcPr>
            <w:tcW w:w="1777" w:type="dxa"/>
            <w:vAlign w:val="center"/>
          </w:tcPr>
          <w:p w14:paraId="3FEAB52E">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二手车鉴定评估师</w:t>
            </w:r>
          </w:p>
        </w:tc>
        <w:tc>
          <w:tcPr>
            <w:tcW w:w="5639" w:type="dxa"/>
          </w:tcPr>
          <w:p w14:paraId="15AC2752">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1.进行汽车质量鉴定；</w:t>
            </w:r>
          </w:p>
          <w:p w14:paraId="5CF29F67">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2.进行二手车鉴定与评估；</w:t>
            </w:r>
          </w:p>
          <w:p w14:paraId="2701C8BA">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3.进行二手车过户</w:t>
            </w:r>
            <w:r>
              <w:rPr>
                <w:rFonts w:hint="eastAsia" w:ascii="仿宋" w:hAnsi="仿宋" w:eastAsia="仿宋" w:cs="仿宋"/>
                <w:iCs/>
                <w:color w:val="000000"/>
                <w:kern w:val="0"/>
                <w:sz w:val="24"/>
                <w:szCs w:val="24"/>
              </w:rPr>
              <w:t>。</w:t>
            </w:r>
          </w:p>
        </w:tc>
      </w:tr>
    </w:tbl>
    <w:p w14:paraId="10A425DF">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（三）职业能力和课程对应分析</w:t>
      </w:r>
    </w:p>
    <w:p w14:paraId="3EBC61C1">
      <w:pPr>
        <w:pStyle w:val="18"/>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表3  职业能力和课程对应分析表</w:t>
      </w:r>
    </w:p>
    <w:tbl>
      <w:tblPr>
        <w:tblStyle w:val="13"/>
        <w:tblW w:w="9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35"/>
        <w:gridCol w:w="2409"/>
        <w:gridCol w:w="3202"/>
        <w:gridCol w:w="2431"/>
      </w:tblGrid>
      <w:tr w14:paraId="4BBA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blHeader/>
          <w:jc w:val="center"/>
        </w:trPr>
        <w:tc>
          <w:tcPr>
            <w:tcW w:w="710" w:type="dxa"/>
            <w:noWrap w:val="0"/>
            <w:vAlign w:val="center"/>
          </w:tcPr>
          <w:p w14:paraId="1CBC9642">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序号</w:t>
            </w:r>
          </w:p>
        </w:tc>
        <w:tc>
          <w:tcPr>
            <w:tcW w:w="1035" w:type="dxa"/>
            <w:noWrap w:val="0"/>
            <w:vAlign w:val="center"/>
          </w:tcPr>
          <w:p w14:paraId="2E0018AC">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工作岗位</w:t>
            </w:r>
          </w:p>
        </w:tc>
        <w:tc>
          <w:tcPr>
            <w:tcW w:w="2409" w:type="dxa"/>
            <w:noWrap w:val="0"/>
            <w:vAlign w:val="center"/>
          </w:tcPr>
          <w:p w14:paraId="17C820AE">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岗位工作任务</w:t>
            </w:r>
          </w:p>
        </w:tc>
        <w:tc>
          <w:tcPr>
            <w:tcW w:w="3202" w:type="dxa"/>
            <w:noWrap w:val="0"/>
            <w:vAlign w:val="center"/>
          </w:tcPr>
          <w:p w14:paraId="5D6B03DD">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职业能力</w:t>
            </w:r>
          </w:p>
        </w:tc>
        <w:tc>
          <w:tcPr>
            <w:tcW w:w="2431" w:type="dxa"/>
            <w:noWrap w:val="0"/>
            <w:vAlign w:val="center"/>
          </w:tcPr>
          <w:p w14:paraId="036AB2B1">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核心课程</w:t>
            </w:r>
          </w:p>
        </w:tc>
      </w:tr>
      <w:tr w14:paraId="6240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jc w:val="center"/>
        </w:trPr>
        <w:tc>
          <w:tcPr>
            <w:tcW w:w="710" w:type="dxa"/>
            <w:noWrap w:val="0"/>
            <w:vAlign w:val="center"/>
          </w:tcPr>
          <w:p w14:paraId="526D64B4">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p>
        </w:tc>
        <w:tc>
          <w:tcPr>
            <w:tcW w:w="1035" w:type="dxa"/>
            <w:noWrap w:val="0"/>
            <w:vAlign w:val="center"/>
          </w:tcPr>
          <w:p w14:paraId="3D864348">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汽车机电维修工</w:t>
            </w:r>
          </w:p>
          <w:p w14:paraId="332D3597">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p>
        </w:tc>
        <w:tc>
          <w:tcPr>
            <w:tcW w:w="2409" w:type="dxa"/>
            <w:noWrap w:val="0"/>
            <w:vAlign w:val="top"/>
          </w:tcPr>
          <w:p w14:paraId="56B824C5">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1.汽车零部件维修；</w:t>
            </w:r>
          </w:p>
          <w:p w14:paraId="3334E3CA">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2.汽车发动机维修；</w:t>
            </w:r>
          </w:p>
          <w:p w14:paraId="7C3F99D0">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3.汽车底盘维修；</w:t>
            </w:r>
          </w:p>
          <w:p w14:paraId="1642A995">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4.汽车电器维修；</w:t>
            </w:r>
          </w:p>
          <w:p w14:paraId="5B0BDC37">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5.汽车车身维修；</w:t>
            </w:r>
          </w:p>
          <w:p w14:paraId="648D9F22">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6.汽车日常维护与保养</w:t>
            </w:r>
            <w:r>
              <w:rPr>
                <w:rFonts w:hint="eastAsia" w:ascii="仿宋" w:hAnsi="仿宋" w:eastAsia="仿宋" w:cs="仿宋"/>
                <w:iCs/>
                <w:color w:val="000000"/>
                <w:kern w:val="0"/>
                <w:sz w:val="24"/>
                <w:szCs w:val="24"/>
              </w:rPr>
              <w:t>。</w:t>
            </w:r>
          </w:p>
        </w:tc>
        <w:tc>
          <w:tcPr>
            <w:tcW w:w="3202" w:type="dxa"/>
            <w:noWrap w:val="0"/>
            <w:vAlign w:val="top"/>
          </w:tcPr>
          <w:p w14:paraId="1BAF6FA6">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1.能进行汽车零部件维修；</w:t>
            </w:r>
          </w:p>
          <w:p w14:paraId="79B410EC">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2.能进行汽车发动机维修；</w:t>
            </w:r>
          </w:p>
          <w:p w14:paraId="5ED1322D">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3.能进行汽车底盘维修；</w:t>
            </w:r>
          </w:p>
          <w:p w14:paraId="29BB8DC1">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4.能进行汽车电器维修；</w:t>
            </w:r>
          </w:p>
          <w:p w14:paraId="55A38A74">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5.能进行汽车车身维修；</w:t>
            </w:r>
          </w:p>
          <w:p w14:paraId="7BCBD660">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6.能进行汽车日常维护保养。</w:t>
            </w:r>
          </w:p>
        </w:tc>
        <w:tc>
          <w:tcPr>
            <w:tcW w:w="2431" w:type="dxa"/>
            <w:noWrap w:val="0"/>
            <w:vAlign w:val="top"/>
          </w:tcPr>
          <w:p w14:paraId="7BDC3351">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汽车发动机</w:t>
            </w:r>
            <w:r>
              <w:rPr>
                <w:rFonts w:hint="eastAsia" w:asciiTheme="minorEastAsia" w:hAnsiTheme="minorEastAsia" w:cstheme="minorEastAsia"/>
                <w:i w:val="0"/>
                <w:iCs w:val="0"/>
                <w:color w:val="auto"/>
                <w:kern w:val="0"/>
                <w:sz w:val="18"/>
                <w:szCs w:val="18"/>
                <w:lang w:val="en-US" w:eastAsia="zh-CN" w:bidi="ar"/>
              </w:rPr>
              <w:t>检测与维修、</w:t>
            </w:r>
            <w:r>
              <w:rPr>
                <w:rFonts w:hint="eastAsia" w:asciiTheme="minorEastAsia" w:hAnsiTheme="minorEastAsia" w:eastAsiaTheme="minorEastAsia" w:cstheme="minorEastAsia"/>
                <w:i w:val="0"/>
                <w:iCs w:val="0"/>
                <w:color w:val="auto"/>
                <w:kern w:val="0"/>
                <w:sz w:val="18"/>
                <w:szCs w:val="18"/>
                <w:lang w:val="en-US" w:eastAsia="zh-CN" w:bidi="ar"/>
              </w:rPr>
              <w:t>汽车底盘检测与维修、汽车电气系统检测与维修、汽车检测与故障诊断、新能源汽车技术、汽车使用与维护</w:t>
            </w:r>
          </w:p>
          <w:p w14:paraId="5AA11C42">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p>
        </w:tc>
      </w:tr>
      <w:tr w14:paraId="5742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710" w:type="dxa"/>
            <w:noWrap w:val="0"/>
            <w:vAlign w:val="center"/>
          </w:tcPr>
          <w:p w14:paraId="3BCCED19">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p>
        </w:tc>
        <w:tc>
          <w:tcPr>
            <w:tcW w:w="1035" w:type="dxa"/>
            <w:noWrap w:val="0"/>
            <w:vAlign w:val="center"/>
          </w:tcPr>
          <w:p w14:paraId="61BA0078">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汽车维修质检员</w:t>
            </w:r>
          </w:p>
          <w:p w14:paraId="605500AD">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p>
        </w:tc>
        <w:tc>
          <w:tcPr>
            <w:tcW w:w="2409" w:type="dxa"/>
            <w:noWrap w:val="0"/>
            <w:vAlign w:val="top"/>
          </w:tcPr>
          <w:p w14:paraId="487F1170">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1.机修车间的维修质检；</w:t>
            </w:r>
          </w:p>
          <w:p w14:paraId="63264272">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2.钣金车间的维修质检；</w:t>
            </w:r>
          </w:p>
          <w:p w14:paraId="015C462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3.喷漆车间的维修质检；</w:t>
            </w:r>
          </w:p>
          <w:p w14:paraId="078A56A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4.返修车辆的质量监督及检查；</w:t>
            </w:r>
          </w:p>
          <w:p w14:paraId="1498A744">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5.事故车辆的质量监督及检查；</w:t>
            </w:r>
          </w:p>
          <w:p w14:paraId="5912B546">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6.制定并实施质量指标、质量改善计划</w:t>
            </w:r>
          </w:p>
        </w:tc>
        <w:tc>
          <w:tcPr>
            <w:tcW w:w="3202" w:type="dxa"/>
            <w:noWrap w:val="0"/>
            <w:vAlign w:val="top"/>
          </w:tcPr>
          <w:p w14:paraId="7C82F3F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1.熟悉机修、钣金、喷漆的基本操作过程，掌握其技术要求、标准；</w:t>
            </w:r>
          </w:p>
          <w:p w14:paraId="0FC9EFE3">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2.能够制定并实施质量指标、质量改善计划；</w:t>
            </w:r>
          </w:p>
          <w:p w14:paraId="34787ACD">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3.能够对维修的完工车辆对照相关技术标准，进行维修质量检验。</w:t>
            </w:r>
          </w:p>
        </w:tc>
        <w:tc>
          <w:tcPr>
            <w:tcW w:w="2431" w:type="dxa"/>
            <w:noWrap w:val="0"/>
            <w:vAlign w:val="top"/>
          </w:tcPr>
          <w:p w14:paraId="68763789">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汽车发动机</w:t>
            </w:r>
            <w:r>
              <w:rPr>
                <w:rFonts w:hint="eastAsia" w:asciiTheme="minorEastAsia" w:hAnsiTheme="minorEastAsia" w:cstheme="minorEastAsia"/>
                <w:i w:val="0"/>
                <w:iCs w:val="0"/>
                <w:color w:val="auto"/>
                <w:kern w:val="0"/>
                <w:sz w:val="18"/>
                <w:szCs w:val="18"/>
                <w:lang w:val="en-US" w:eastAsia="zh-CN" w:bidi="ar"/>
              </w:rPr>
              <w:t>检测与维修、</w:t>
            </w:r>
            <w:r>
              <w:rPr>
                <w:rFonts w:hint="eastAsia" w:asciiTheme="minorEastAsia" w:hAnsiTheme="minorEastAsia" w:eastAsiaTheme="minorEastAsia" w:cstheme="minorEastAsia"/>
                <w:i w:val="0"/>
                <w:iCs w:val="0"/>
                <w:color w:val="auto"/>
                <w:kern w:val="0"/>
                <w:sz w:val="18"/>
                <w:szCs w:val="18"/>
                <w:lang w:val="en-US" w:eastAsia="zh-CN" w:bidi="ar"/>
              </w:rPr>
              <w:t>汽车底盘检测与维修、汽车电气系统检测与维修、汽车检测与故障诊断、新能源汽车技术、汽车使用与维护</w:t>
            </w:r>
          </w:p>
          <w:p w14:paraId="54C7C26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p>
        </w:tc>
      </w:tr>
      <w:tr w14:paraId="34BC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710" w:type="dxa"/>
            <w:noWrap w:val="0"/>
            <w:vAlign w:val="center"/>
          </w:tcPr>
          <w:p w14:paraId="27475A3E">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p>
        </w:tc>
        <w:tc>
          <w:tcPr>
            <w:tcW w:w="1035" w:type="dxa"/>
            <w:noWrap w:val="0"/>
            <w:vAlign w:val="center"/>
          </w:tcPr>
          <w:p w14:paraId="7D753BBB">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汽车售后服务顾问</w:t>
            </w:r>
          </w:p>
        </w:tc>
        <w:tc>
          <w:tcPr>
            <w:tcW w:w="2409" w:type="dxa"/>
            <w:noWrap w:val="0"/>
            <w:vAlign w:val="top"/>
          </w:tcPr>
          <w:p w14:paraId="258308EA">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1.客户接待；</w:t>
            </w:r>
          </w:p>
          <w:p w14:paraId="6CD5A3ED">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2.检查并确定汽车维修内容；</w:t>
            </w:r>
          </w:p>
          <w:p w14:paraId="436BC50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3.与客户沟通；</w:t>
            </w:r>
          </w:p>
          <w:p w14:paraId="49BFA1B0">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4.客户服务跟踪。</w:t>
            </w:r>
          </w:p>
        </w:tc>
        <w:tc>
          <w:tcPr>
            <w:tcW w:w="3202" w:type="dxa"/>
            <w:noWrap w:val="0"/>
            <w:vAlign w:val="top"/>
          </w:tcPr>
          <w:p w14:paraId="47652B54">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1.能够热情主动地进行客户接待；</w:t>
            </w:r>
          </w:p>
          <w:p w14:paraId="55EA9CB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2.能检查并确定汽车维修内容；</w:t>
            </w:r>
          </w:p>
          <w:p w14:paraId="75FDB2D6">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3.能够有效地与客户沟通；</w:t>
            </w:r>
          </w:p>
          <w:p w14:paraId="5E16F20B">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4.进行客户服务跟踪。</w:t>
            </w:r>
          </w:p>
        </w:tc>
        <w:tc>
          <w:tcPr>
            <w:tcW w:w="2431" w:type="dxa"/>
            <w:noWrap w:val="0"/>
            <w:vAlign w:val="top"/>
          </w:tcPr>
          <w:p w14:paraId="5BFAEB5B">
            <w:pPr>
              <w:keepNext w:val="0"/>
              <w:keepLines w:val="0"/>
              <w:widowControl/>
              <w:suppressLineNumbers w:val="0"/>
              <w:jc w:val="both"/>
              <w:rPr>
                <w:rFonts w:hint="default"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汽车检测与故障诊断、新能源汽车技术、汽车使用与维护</w:t>
            </w:r>
            <w:r>
              <w:rPr>
                <w:rFonts w:hint="eastAsia" w:asciiTheme="minorEastAsia" w:hAnsiTheme="minorEastAsia" w:cstheme="minorEastAsia"/>
                <w:i w:val="0"/>
                <w:iCs w:val="0"/>
                <w:color w:val="auto"/>
                <w:kern w:val="0"/>
                <w:sz w:val="18"/>
                <w:szCs w:val="18"/>
                <w:lang w:val="en-US" w:eastAsia="zh-CN" w:bidi="ar"/>
              </w:rPr>
              <w:t>、汽车市场营销、汽车文化</w:t>
            </w:r>
          </w:p>
          <w:p w14:paraId="6AD9B290">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p>
        </w:tc>
      </w:tr>
      <w:tr w14:paraId="4DF45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710" w:type="dxa"/>
            <w:noWrap w:val="0"/>
            <w:vAlign w:val="center"/>
          </w:tcPr>
          <w:p w14:paraId="71386F72">
            <w:pPr>
              <w:keepNext w:val="0"/>
              <w:keepLines w:val="0"/>
              <w:widowControl/>
              <w:suppressLineNumbers w:val="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w:t>
            </w:r>
          </w:p>
        </w:tc>
        <w:tc>
          <w:tcPr>
            <w:tcW w:w="1035" w:type="dxa"/>
            <w:noWrap w:val="0"/>
            <w:vAlign w:val="center"/>
          </w:tcPr>
          <w:p w14:paraId="25939BB6">
            <w:pPr>
              <w:keepNext w:val="0"/>
              <w:keepLines w:val="0"/>
              <w:widowControl/>
              <w:suppressLineNumbers w:val="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二手车鉴定评估师</w:t>
            </w:r>
          </w:p>
        </w:tc>
        <w:tc>
          <w:tcPr>
            <w:tcW w:w="2409" w:type="dxa"/>
            <w:noWrap w:val="0"/>
            <w:vAlign w:val="top"/>
          </w:tcPr>
          <w:p w14:paraId="222FC6FF">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1.进行汽车质量鉴定；</w:t>
            </w:r>
          </w:p>
          <w:p w14:paraId="3D6430D8">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2.进行二手车鉴定与评估；</w:t>
            </w:r>
          </w:p>
          <w:p w14:paraId="10D4857E">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3.进行二手车过户</w:t>
            </w:r>
            <w:r>
              <w:rPr>
                <w:rFonts w:hint="eastAsia" w:ascii="仿宋" w:hAnsi="仿宋" w:eastAsia="仿宋" w:cs="仿宋"/>
                <w:iCs/>
                <w:color w:val="000000"/>
                <w:kern w:val="0"/>
                <w:sz w:val="24"/>
                <w:szCs w:val="24"/>
              </w:rPr>
              <w:t>。</w:t>
            </w:r>
          </w:p>
        </w:tc>
        <w:tc>
          <w:tcPr>
            <w:tcW w:w="3202" w:type="dxa"/>
            <w:noWrap w:val="0"/>
            <w:vAlign w:val="center"/>
          </w:tcPr>
          <w:p w14:paraId="21739522">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1.进行汽车质量鉴定；</w:t>
            </w:r>
          </w:p>
          <w:p w14:paraId="3761EB50">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2.进行二手车鉴定与评估；</w:t>
            </w:r>
          </w:p>
          <w:p w14:paraId="51E08196">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3.进行二手车过户。</w:t>
            </w:r>
          </w:p>
        </w:tc>
        <w:tc>
          <w:tcPr>
            <w:tcW w:w="2431" w:type="dxa"/>
            <w:noWrap w:val="0"/>
            <w:vAlign w:val="center"/>
          </w:tcPr>
          <w:p w14:paraId="5F6F1DE0">
            <w:pPr>
              <w:keepNext w:val="0"/>
              <w:keepLines w:val="0"/>
              <w:widowControl/>
              <w:suppressLineNumbers w:val="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imes New Roman" w:hAnsi="Times New Roman" w:cs="Times New Roman"/>
                <w:color w:val="auto"/>
                <w:sz w:val="18"/>
                <w:szCs w:val="18"/>
                <w:lang w:val="en-US" w:eastAsia="zh-CN"/>
              </w:rPr>
              <w:t>二手车鉴定与评估、</w:t>
            </w:r>
            <w:r>
              <w:rPr>
                <w:rFonts w:hint="eastAsia" w:asciiTheme="minorEastAsia" w:hAnsiTheme="minorEastAsia" w:eastAsiaTheme="minorEastAsia" w:cstheme="minorEastAsia"/>
                <w:i w:val="0"/>
                <w:iCs w:val="0"/>
                <w:color w:val="auto"/>
                <w:kern w:val="0"/>
                <w:sz w:val="18"/>
                <w:szCs w:val="18"/>
                <w:lang w:val="en-US" w:eastAsia="zh-CN" w:bidi="ar"/>
              </w:rPr>
              <w:t>汽车发动机</w:t>
            </w:r>
            <w:r>
              <w:rPr>
                <w:rFonts w:hint="eastAsia" w:asciiTheme="minorEastAsia" w:hAnsiTheme="minorEastAsia" w:cstheme="minorEastAsia"/>
                <w:i w:val="0"/>
                <w:iCs w:val="0"/>
                <w:color w:val="auto"/>
                <w:kern w:val="0"/>
                <w:sz w:val="18"/>
                <w:szCs w:val="18"/>
                <w:lang w:val="en-US" w:eastAsia="zh-CN" w:bidi="ar"/>
              </w:rPr>
              <w:t>检测与维修、</w:t>
            </w:r>
            <w:r>
              <w:rPr>
                <w:rFonts w:hint="eastAsia" w:asciiTheme="minorEastAsia" w:hAnsiTheme="minorEastAsia" w:eastAsiaTheme="minorEastAsia" w:cstheme="minorEastAsia"/>
                <w:i w:val="0"/>
                <w:iCs w:val="0"/>
                <w:color w:val="auto"/>
                <w:kern w:val="0"/>
                <w:sz w:val="18"/>
                <w:szCs w:val="18"/>
                <w:lang w:val="en-US" w:eastAsia="zh-CN" w:bidi="ar"/>
              </w:rPr>
              <w:t>汽车底盘检测与维修、汽车电气系统检测与维修、汽车检测与故障诊断、新能源汽车技术、</w:t>
            </w:r>
          </w:p>
        </w:tc>
      </w:tr>
    </w:tbl>
    <w:p w14:paraId="22CF0A0F">
      <w:pPr>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五、培养目标及培养规格</w:t>
      </w:r>
    </w:p>
    <w:p w14:paraId="51A7044E">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（一）培养目标</w:t>
      </w:r>
    </w:p>
    <w:p w14:paraId="49B02276">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rPr>
        <w:t>培养目标：本专业培养社会主义现代化建设和地方社会经济发展需要，理想信念坚定，德智体美劳全面发展，具有一定的科学文化水平良好的人文素养、职业道德和创新意识，精益求精的工匠精神，较强的就业能力和可持续发展的能力，掌握本专业知识和技术技能，面向汽车制造业，汽车、摩托车等修理与维护行业的汽车整车制造人员、汽车摩托车维修技术服务人员等职业群，能够从事汽车质量与性能检测、汽车故障返修、汽车机电维修、服务顾问等工作，具有良好职业道德，扎实理论基础，较强实践能力、创新创业意识和职业岗位能力的高素质技术技能人才。</w:t>
      </w:r>
    </w:p>
    <w:p w14:paraId="11753AD0">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（二）培养规格</w:t>
      </w:r>
    </w:p>
    <w:p w14:paraId="0C058D15">
      <w:pPr>
        <w:keepNext w:val="0"/>
        <w:keepLines w:val="0"/>
        <w:pageBreakBefore w:val="0"/>
        <w:wordWrap/>
        <w:topLinePunct w:val="0"/>
        <w:bidi w:val="0"/>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本专业毕业生应在知识</w:t>
      </w:r>
      <w:r>
        <w:rPr>
          <w:rFonts w:hint="eastAsia" w:ascii="宋体" w:hAnsi="宋体" w:eastAsia="宋体" w:cs="宋体"/>
          <w:bCs/>
          <w:szCs w:val="21"/>
          <w:lang w:eastAsia="zh-CN"/>
        </w:rPr>
        <w:t>、</w:t>
      </w:r>
      <w:r>
        <w:rPr>
          <w:rFonts w:hint="eastAsia" w:ascii="宋体" w:hAnsi="宋体" w:eastAsia="宋体" w:cs="宋体"/>
          <w:bCs/>
          <w:szCs w:val="21"/>
        </w:rPr>
        <w:t>能力</w:t>
      </w:r>
      <w:r>
        <w:rPr>
          <w:rFonts w:hint="eastAsia" w:ascii="宋体" w:hAnsi="宋体" w:eastAsia="宋体" w:cs="宋体"/>
          <w:bCs/>
          <w:szCs w:val="21"/>
          <w:lang w:val="en-US" w:eastAsia="zh-CN"/>
        </w:rPr>
        <w:t>和</w:t>
      </w:r>
      <w:r>
        <w:rPr>
          <w:rFonts w:hint="eastAsia" w:ascii="宋体" w:hAnsi="宋体" w:eastAsia="宋体" w:cs="宋体"/>
          <w:bCs/>
          <w:szCs w:val="21"/>
        </w:rPr>
        <w:t>素质方面达到以下要求：</w:t>
      </w:r>
    </w:p>
    <w:p w14:paraId="6AEA59AE">
      <w:pPr>
        <w:keepNext w:val="0"/>
        <w:keepLines w:val="0"/>
        <w:pageBreakBefore w:val="0"/>
        <w:wordWrap/>
        <w:topLinePunct w:val="0"/>
        <w:bidi w:val="0"/>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val="en-US" w:eastAsia="zh-CN"/>
        </w:rPr>
        <w:t>1.</w:t>
      </w:r>
      <w:r>
        <w:rPr>
          <w:rFonts w:hint="eastAsia" w:ascii="宋体" w:hAnsi="宋体" w:eastAsia="宋体" w:cs="宋体"/>
          <w:bCs/>
          <w:szCs w:val="21"/>
        </w:rPr>
        <w:t>知识要求</w:t>
      </w:r>
    </w:p>
    <w:p w14:paraId="51FAE364">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（1）</w:t>
      </w:r>
      <w:r>
        <w:rPr>
          <w:rFonts w:hint="eastAsia" w:ascii="宋体" w:hAnsi="宋体" w:eastAsia="宋体" w:cs="宋体"/>
          <w:bCs/>
          <w:szCs w:val="21"/>
        </w:rPr>
        <w:t>掌握必备的思想政治理论、科学文化基础知识和中华优秀传统文化知识</w:t>
      </w:r>
      <w:r>
        <w:rPr>
          <w:rFonts w:hint="eastAsia" w:ascii="宋体" w:hAnsi="宋体" w:eastAsia="宋体" w:cs="宋体"/>
          <w:bCs/>
          <w:szCs w:val="21"/>
          <w:lang w:eastAsia="zh-CN"/>
        </w:rPr>
        <w:t>；</w:t>
      </w:r>
    </w:p>
    <w:p w14:paraId="214FB274">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（2）</w:t>
      </w:r>
      <w:r>
        <w:rPr>
          <w:rFonts w:hint="eastAsia" w:ascii="宋体" w:hAnsi="宋体" w:eastAsia="宋体" w:cs="宋体"/>
          <w:bCs/>
          <w:szCs w:val="21"/>
        </w:rPr>
        <w:t>熟悉与本专业相关的法律法规以及环境保护、安全消防等知识</w:t>
      </w:r>
      <w:r>
        <w:rPr>
          <w:rFonts w:hint="eastAsia" w:ascii="宋体" w:hAnsi="宋体" w:eastAsia="宋体" w:cs="宋体"/>
          <w:bCs/>
          <w:szCs w:val="21"/>
          <w:lang w:eastAsia="zh-CN"/>
        </w:rPr>
        <w:t>；</w:t>
      </w:r>
    </w:p>
    <w:p w14:paraId="1D73E938">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（3）</w:t>
      </w:r>
      <w:r>
        <w:rPr>
          <w:rFonts w:hint="eastAsia" w:ascii="宋体" w:hAnsi="宋体" w:eastAsia="宋体" w:cs="宋体"/>
          <w:bCs/>
          <w:szCs w:val="21"/>
        </w:rPr>
        <w:t>熟悉汽车零件图和装配图要素</w:t>
      </w:r>
      <w:r>
        <w:rPr>
          <w:rFonts w:hint="eastAsia" w:ascii="宋体" w:hAnsi="宋体" w:eastAsia="宋体" w:cs="宋体"/>
          <w:bCs/>
          <w:szCs w:val="21"/>
          <w:lang w:eastAsia="zh-CN"/>
        </w:rPr>
        <w:t>；</w:t>
      </w:r>
    </w:p>
    <w:p w14:paraId="7E6F96C3">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（4）</w:t>
      </w:r>
      <w:r>
        <w:rPr>
          <w:rFonts w:hint="eastAsia" w:ascii="宋体" w:hAnsi="宋体" w:eastAsia="宋体" w:cs="宋体"/>
          <w:bCs/>
          <w:szCs w:val="21"/>
        </w:rPr>
        <w:t>熟悉电路图的组成要素及电工特种作业基本知识</w:t>
      </w:r>
      <w:r>
        <w:rPr>
          <w:rFonts w:hint="eastAsia" w:ascii="宋体" w:hAnsi="宋体" w:eastAsia="宋体" w:cs="宋体"/>
          <w:bCs/>
          <w:szCs w:val="21"/>
          <w:lang w:eastAsia="zh-CN"/>
        </w:rPr>
        <w:t>；</w:t>
      </w:r>
    </w:p>
    <w:p w14:paraId="4BF58812">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（5）</w:t>
      </w:r>
      <w:r>
        <w:rPr>
          <w:rFonts w:hint="eastAsia" w:ascii="宋体" w:hAnsi="宋体" w:eastAsia="宋体" w:cs="宋体"/>
          <w:bCs/>
          <w:szCs w:val="21"/>
        </w:rPr>
        <w:t>了解单片机原理与控制知识</w:t>
      </w:r>
      <w:r>
        <w:rPr>
          <w:rFonts w:hint="eastAsia" w:ascii="宋体" w:hAnsi="宋体" w:eastAsia="宋体" w:cs="宋体"/>
          <w:bCs/>
          <w:szCs w:val="21"/>
          <w:lang w:eastAsia="zh-CN"/>
        </w:rPr>
        <w:t>；</w:t>
      </w:r>
    </w:p>
    <w:p w14:paraId="0E80F234">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（6）</w:t>
      </w:r>
      <w:r>
        <w:rPr>
          <w:rFonts w:hint="eastAsia" w:ascii="宋体" w:hAnsi="宋体" w:eastAsia="宋体" w:cs="宋体"/>
          <w:bCs/>
          <w:szCs w:val="21"/>
        </w:rPr>
        <w:t>掌握汽车各部分的组成及工作原理</w:t>
      </w:r>
      <w:r>
        <w:rPr>
          <w:rFonts w:hint="eastAsia" w:ascii="宋体" w:hAnsi="宋体" w:eastAsia="宋体" w:cs="宋体"/>
          <w:bCs/>
          <w:szCs w:val="21"/>
          <w:lang w:eastAsia="zh-CN"/>
        </w:rPr>
        <w:t>；</w:t>
      </w:r>
    </w:p>
    <w:p w14:paraId="7C9AE472">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（7）</w:t>
      </w:r>
      <w:r>
        <w:rPr>
          <w:rFonts w:hint="eastAsia" w:ascii="宋体" w:hAnsi="宋体" w:eastAsia="宋体" w:cs="宋体"/>
          <w:bCs/>
          <w:szCs w:val="21"/>
        </w:rPr>
        <w:t>掌握汽车发动机、汽车底盘、汽车电气系统的检测与维修方法</w:t>
      </w:r>
      <w:r>
        <w:rPr>
          <w:rFonts w:hint="eastAsia" w:ascii="宋体" w:hAnsi="宋体" w:eastAsia="宋体" w:cs="宋体"/>
          <w:bCs/>
          <w:szCs w:val="21"/>
          <w:lang w:eastAsia="zh-CN"/>
        </w:rPr>
        <w:t>；</w:t>
      </w:r>
    </w:p>
    <w:p w14:paraId="70128CF1">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（8）</w:t>
      </w:r>
      <w:r>
        <w:rPr>
          <w:rFonts w:hint="eastAsia" w:ascii="宋体" w:hAnsi="宋体" w:eastAsia="宋体" w:cs="宋体"/>
          <w:bCs/>
          <w:szCs w:val="21"/>
        </w:rPr>
        <w:t>掌握汽车质量评审与检验的相关知识</w:t>
      </w:r>
      <w:r>
        <w:rPr>
          <w:rFonts w:hint="eastAsia" w:ascii="宋体" w:hAnsi="宋体" w:eastAsia="宋体" w:cs="宋体"/>
          <w:bCs/>
          <w:szCs w:val="21"/>
          <w:lang w:eastAsia="zh-CN"/>
        </w:rPr>
        <w:t>；</w:t>
      </w:r>
    </w:p>
    <w:p w14:paraId="4C668B66">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（9）</w:t>
      </w:r>
      <w:r>
        <w:rPr>
          <w:rFonts w:hint="eastAsia" w:ascii="宋体" w:hAnsi="宋体" w:eastAsia="宋体" w:cs="宋体"/>
          <w:bCs/>
          <w:szCs w:val="21"/>
        </w:rPr>
        <w:t>掌握汽车检测常用仪器、工具和设备的选择、维护与操作规程</w:t>
      </w:r>
      <w:r>
        <w:rPr>
          <w:rFonts w:hint="eastAsia" w:ascii="宋体" w:hAnsi="宋体" w:eastAsia="宋体" w:cs="宋体"/>
          <w:bCs/>
          <w:szCs w:val="21"/>
          <w:lang w:eastAsia="zh-CN"/>
        </w:rPr>
        <w:t>；</w:t>
      </w:r>
    </w:p>
    <w:p w14:paraId="4AC64954">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（10）</w:t>
      </w:r>
      <w:r>
        <w:rPr>
          <w:rFonts w:hint="eastAsia" w:ascii="宋体" w:hAnsi="宋体" w:eastAsia="宋体" w:cs="宋体"/>
          <w:bCs/>
          <w:szCs w:val="21"/>
        </w:rPr>
        <w:t>掌握汽车性能检测及故障诊断相关知识</w:t>
      </w:r>
      <w:r>
        <w:rPr>
          <w:rFonts w:hint="eastAsia" w:ascii="宋体" w:hAnsi="宋体" w:eastAsia="宋体" w:cs="宋体"/>
          <w:bCs/>
          <w:szCs w:val="21"/>
          <w:lang w:eastAsia="zh-CN"/>
        </w:rPr>
        <w:t>；</w:t>
      </w:r>
    </w:p>
    <w:p w14:paraId="3A464E3E">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（11）</w:t>
      </w:r>
      <w:r>
        <w:rPr>
          <w:rFonts w:hint="eastAsia" w:ascii="宋体" w:hAnsi="宋体" w:eastAsia="宋体" w:cs="宋体"/>
          <w:bCs/>
          <w:szCs w:val="21"/>
        </w:rPr>
        <w:t>掌握节能与新能源相关知识</w:t>
      </w:r>
      <w:r>
        <w:rPr>
          <w:rFonts w:hint="eastAsia" w:ascii="宋体" w:hAnsi="宋体" w:eastAsia="宋体" w:cs="宋体"/>
          <w:bCs/>
          <w:szCs w:val="21"/>
          <w:lang w:eastAsia="zh-CN"/>
        </w:rPr>
        <w:t>；</w:t>
      </w:r>
    </w:p>
    <w:p w14:paraId="075AEFEB">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（12）</w:t>
      </w:r>
      <w:r>
        <w:rPr>
          <w:rFonts w:hint="eastAsia" w:ascii="宋体" w:hAnsi="宋体" w:eastAsia="宋体" w:cs="宋体"/>
          <w:bCs/>
          <w:szCs w:val="21"/>
        </w:rPr>
        <w:t>掌握新能源汽车的组成、工作原理及使用维护等相关知识</w:t>
      </w:r>
      <w:r>
        <w:rPr>
          <w:rFonts w:hint="eastAsia" w:ascii="宋体" w:hAnsi="宋体" w:eastAsia="宋体" w:cs="宋体"/>
          <w:bCs/>
          <w:szCs w:val="21"/>
          <w:lang w:eastAsia="zh-CN"/>
        </w:rPr>
        <w:t>；</w:t>
      </w:r>
    </w:p>
    <w:p w14:paraId="5FC397D3">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（13）</w:t>
      </w:r>
      <w:r>
        <w:rPr>
          <w:rFonts w:hint="eastAsia" w:ascii="宋体" w:hAnsi="宋体" w:eastAsia="宋体" w:cs="宋体"/>
          <w:bCs/>
          <w:szCs w:val="21"/>
        </w:rPr>
        <w:t>了解汽车制造相关的国家标准和国际标准</w:t>
      </w:r>
      <w:r>
        <w:rPr>
          <w:rFonts w:hint="eastAsia" w:ascii="宋体" w:hAnsi="宋体" w:eastAsia="宋体" w:cs="宋体"/>
          <w:bCs/>
          <w:szCs w:val="21"/>
          <w:lang w:eastAsia="zh-CN"/>
        </w:rPr>
        <w:t>；</w:t>
      </w:r>
    </w:p>
    <w:p w14:paraId="0018CD86">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（14）</w:t>
      </w:r>
      <w:r>
        <w:rPr>
          <w:rFonts w:hint="eastAsia" w:ascii="宋体" w:hAnsi="宋体" w:eastAsia="宋体" w:cs="宋体"/>
          <w:bCs/>
          <w:szCs w:val="21"/>
        </w:rPr>
        <w:t>了解汽车销售、保险和理赔、旧车鉴定和维修企业管理等相关知识</w:t>
      </w:r>
      <w:r>
        <w:rPr>
          <w:rFonts w:hint="eastAsia" w:ascii="宋体" w:hAnsi="宋体" w:eastAsia="宋体" w:cs="宋体"/>
          <w:bCs/>
          <w:szCs w:val="21"/>
          <w:lang w:eastAsia="zh-CN"/>
        </w:rPr>
        <w:t>；</w:t>
      </w:r>
    </w:p>
    <w:p w14:paraId="3303BA6B">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（15）</w:t>
      </w:r>
      <w:r>
        <w:rPr>
          <w:rFonts w:hint="eastAsia" w:ascii="宋体" w:hAnsi="宋体" w:eastAsia="宋体" w:cs="宋体"/>
          <w:bCs/>
          <w:szCs w:val="21"/>
        </w:rPr>
        <w:t>了解车身表面修复方法与要求。</w:t>
      </w:r>
    </w:p>
    <w:p w14:paraId="5674807C">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lang w:val="en-US" w:eastAsia="zh-CN"/>
        </w:rPr>
        <w:t>2.</w:t>
      </w:r>
      <w:r>
        <w:rPr>
          <w:rFonts w:hint="eastAsia" w:ascii="宋体" w:hAnsi="宋体" w:eastAsia="宋体" w:cs="宋体"/>
          <w:bCs/>
          <w:szCs w:val="21"/>
        </w:rPr>
        <w:t>能力要求</w:t>
      </w:r>
    </w:p>
    <w:p w14:paraId="4837CEC5">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（1）</w:t>
      </w:r>
      <w:r>
        <w:rPr>
          <w:rFonts w:hint="eastAsia" w:ascii="宋体" w:hAnsi="宋体" w:eastAsia="宋体" w:cs="宋体"/>
          <w:bCs/>
          <w:szCs w:val="21"/>
        </w:rPr>
        <w:t>具有探究学习、终身学习、分析问题和解决问题的能力</w:t>
      </w:r>
      <w:r>
        <w:rPr>
          <w:rFonts w:hint="eastAsia" w:ascii="宋体" w:hAnsi="宋体" w:eastAsia="宋体" w:cs="宋体"/>
          <w:bCs/>
          <w:szCs w:val="21"/>
          <w:lang w:eastAsia="zh-CN"/>
        </w:rPr>
        <w:t>；</w:t>
      </w:r>
    </w:p>
    <w:p w14:paraId="2F30F752">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（2）</w:t>
      </w:r>
      <w:r>
        <w:rPr>
          <w:rFonts w:hint="eastAsia" w:ascii="宋体" w:hAnsi="宋体" w:eastAsia="宋体" w:cs="宋体"/>
          <w:bCs/>
          <w:szCs w:val="21"/>
        </w:rPr>
        <w:t>具有良好的语言、文字表达能力和沟通能力</w:t>
      </w:r>
      <w:r>
        <w:rPr>
          <w:rFonts w:hint="eastAsia" w:ascii="宋体" w:hAnsi="宋体" w:eastAsia="宋体" w:cs="宋体"/>
          <w:bCs/>
          <w:szCs w:val="21"/>
          <w:lang w:eastAsia="zh-CN"/>
        </w:rPr>
        <w:t>；</w:t>
      </w:r>
    </w:p>
    <w:p w14:paraId="169083D1">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（3）</w:t>
      </w:r>
      <w:r>
        <w:rPr>
          <w:rFonts w:hint="eastAsia" w:ascii="宋体" w:hAnsi="宋体" w:eastAsia="宋体" w:cs="宋体"/>
          <w:bCs/>
          <w:szCs w:val="21"/>
        </w:rPr>
        <w:t>具备本专业必需的信息技术应用和维护能力</w:t>
      </w:r>
      <w:r>
        <w:rPr>
          <w:rFonts w:hint="eastAsia" w:ascii="宋体" w:hAnsi="宋体" w:eastAsia="宋体" w:cs="宋体"/>
          <w:bCs/>
          <w:szCs w:val="21"/>
          <w:lang w:eastAsia="zh-CN"/>
        </w:rPr>
        <w:t>；</w:t>
      </w:r>
    </w:p>
    <w:p w14:paraId="2CA4FFE9">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（4）</w:t>
      </w:r>
      <w:r>
        <w:rPr>
          <w:rFonts w:hint="eastAsia" w:ascii="宋体" w:hAnsi="宋体" w:eastAsia="宋体" w:cs="宋体"/>
          <w:bCs/>
          <w:szCs w:val="21"/>
        </w:rPr>
        <w:t>具备对汽车电路图的识读与分析能力</w:t>
      </w:r>
      <w:r>
        <w:rPr>
          <w:rFonts w:hint="eastAsia" w:ascii="宋体" w:hAnsi="宋体" w:eastAsia="宋体" w:cs="宋体"/>
          <w:bCs/>
          <w:szCs w:val="21"/>
          <w:lang w:eastAsia="zh-CN"/>
        </w:rPr>
        <w:t>；</w:t>
      </w:r>
    </w:p>
    <w:p w14:paraId="2CFA9E99">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（5）</w:t>
      </w:r>
      <w:r>
        <w:rPr>
          <w:rFonts w:hint="eastAsia" w:ascii="宋体" w:hAnsi="宋体" w:eastAsia="宋体" w:cs="宋体"/>
          <w:bCs/>
          <w:szCs w:val="21"/>
        </w:rPr>
        <w:t>能够执行维修技术标准和制造厂、零部件供应商提供的车辆维修、调整、路试检查程序</w:t>
      </w:r>
      <w:r>
        <w:rPr>
          <w:rFonts w:hint="eastAsia" w:ascii="宋体" w:hAnsi="宋体" w:eastAsia="宋体" w:cs="宋体"/>
          <w:bCs/>
          <w:szCs w:val="21"/>
          <w:lang w:eastAsia="zh-CN"/>
        </w:rPr>
        <w:t>；</w:t>
      </w:r>
    </w:p>
    <w:p w14:paraId="22244B3A">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（6）</w:t>
      </w:r>
      <w:r>
        <w:rPr>
          <w:rFonts w:hint="eastAsia" w:ascii="宋体" w:hAnsi="宋体" w:eastAsia="宋体" w:cs="宋体"/>
          <w:bCs/>
          <w:szCs w:val="21"/>
        </w:rPr>
        <w:t>具备车辆各总成和系统部件的拆卸、标记与装配能力</w:t>
      </w:r>
      <w:r>
        <w:rPr>
          <w:rFonts w:hint="eastAsia" w:ascii="宋体" w:hAnsi="宋体" w:eastAsia="宋体" w:cs="宋体"/>
          <w:bCs/>
          <w:szCs w:val="21"/>
          <w:lang w:eastAsia="zh-CN"/>
        </w:rPr>
        <w:t>；</w:t>
      </w:r>
    </w:p>
    <w:p w14:paraId="41370722">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（7）</w:t>
      </w:r>
      <w:r>
        <w:rPr>
          <w:rFonts w:hint="eastAsia" w:ascii="宋体" w:hAnsi="宋体" w:eastAsia="宋体" w:cs="宋体"/>
          <w:bCs/>
          <w:szCs w:val="21"/>
        </w:rPr>
        <w:t>具备参照国家质量标准、国际标准和汽车制造商质量规定进行汽车质量评审与检验的能力</w:t>
      </w:r>
      <w:r>
        <w:rPr>
          <w:rFonts w:hint="eastAsia" w:ascii="宋体" w:hAnsi="宋体" w:eastAsia="宋体" w:cs="宋体"/>
          <w:bCs/>
          <w:szCs w:val="21"/>
          <w:lang w:eastAsia="zh-CN"/>
        </w:rPr>
        <w:t>；</w:t>
      </w:r>
    </w:p>
    <w:p w14:paraId="7067BDBA">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（8）</w:t>
      </w:r>
      <w:r>
        <w:rPr>
          <w:rFonts w:hint="eastAsia" w:ascii="宋体" w:hAnsi="宋体" w:eastAsia="宋体" w:cs="宋体"/>
          <w:bCs/>
          <w:szCs w:val="21"/>
        </w:rPr>
        <w:t>具备熟练操作汽车检测与维修常用设备、仪器及工具的能力</w:t>
      </w:r>
      <w:r>
        <w:rPr>
          <w:rFonts w:hint="eastAsia" w:ascii="宋体" w:hAnsi="宋体" w:eastAsia="宋体" w:cs="宋体"/>
          <w:bCs/>
          <w:szCs w:val="21"/>
          <w:lang w:eastAsia="zh-CN"/>
        </w:rPr>
        <w:t>；</w:t>
      </w:r>
    </w:p>
    <w:p w14:paraId="594D59FF">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（9）</w:t>
      </w:r>
      <w:r>
        <w:rPr>
          <w:rFonts w:hint="eastAsia" w:ascii="宋体" w:hAnsi="宋体" w:eastAsia="宋体" w:cs="宋体"/>
          <w:bCs/>
          <w:szCs w:val="21"/>
        </w:rPr>
        <w:t>具备制定维修方案，排除汽车综合故障的能力</w:t>
      </w:r>
      <w:r>
        <w:rPr>
          <w:rFonts w:hint="eastAsia" w:ascii="宋体" w:hAnsi="宋体" w:eastAsia="宋体" w:cs="宋体"/>
          <w:bCs/>
          <w:szCs w:val="21"/>
          <w:lang w:eastAsia="zh-CN"/>
        </w:rPr>
        <w:t>；</w:t>
      </w:r>
    </w:p>
    <w:p w14:paraId="6E72739B">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（10）</w:t>
      </w:r>
      <w:r>
        <w:rPr>
          <w:rFonts w:hint="eastAsia" w:ascii="宋体" w:hAnsi="宋体" w:eastAsia="宋体" w:cs="宋体"/>
          <w:bCs/>
          <w:szCs w:val="21"/>
        </w:rPr>
        <w:t>具备使用与维护电动汽车电池、电机及电控系统的能力</w:t>
      </w:r>
      <w:r>
        <w:rPr>
          <w:rFonts w:hint="eastAsia" w:ascii="宋体" w:hAnsi="宋体" w:eastAsia="宋体" w:cs="宋体"/>
          <w:bCs/>
          <w:szCs w:val="21"/>
          <w:lang w:eastAsia="zh-CN"/>
        </w:rPr>
        <w:t>；</w:t>
      </w:r>
    </w:p>
    <w:p w14:paraId="51C35201">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lang w:val="en-US" w:eastAsia="zh-CN"/>
        </w:rPr>
        <w:t>（11）</w:t>
      </w:r>
      <w:r>
        <w:rPr>
          <w:rFonts w:hint="eastAsia" w:ascii="宋体" w:hAnsi="宋体" w:eastAsia="宋体" w:cs="宋体"/>
          <w:bCs/>
          <w:szCs w:val="21"/>
        </w:rPr>
        <w:t>具备与客户交车，处理客户委托的能力。</w:t>
      </w:r>
    </w:p>
    <w:p w14:paraId="038E396B">
      <w:pPr>
        <w:keepNext w:val="0"/>
        <w:keepLines w:val="0"/>
        <w:pageBreakBefore w:val="0"/>
        <w:wordWrap/>
        <w:topLinePunct w:val="0"/>
        <w:bidi w:val="0"/>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val="en-US" w:eastAsia="zh-CN"/>
        </w:rPr>
        <w:t>3.</w:t>
      </w:r>
      <w:r>
        <w:rPr>
          <w:rFonts w:hint="eastAsia" w:ascii="宋体" w:hAnsi="宋体" w:eastAsia="宋体" w:cs="宋体"/>
          <w:bCs/>
          <w:szCs w:val="21"/>
        </w:rPr>
        <w:t>素质要求</w:t>
      </w:r>
    </w:p>
    <w:p w14:paraId="24C722F0">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（1）</w:t>
      </w:r>
      <w:r>
        <w:rPr>
          <w:rFonts w:hint="eastAsia" w:ascii="宋体" w:hAnsi="宋体" w:eastAsia="宋体" w:cs="宋体"/>
          <w:bCs/>
          <w:szCs w:val="21"/>
        </w:rPr>
        <w:t>坚定拥护中国共产党领导和我国社会主义制度，在习近平新时代中国特色社会主义思想指引下，践行社会主义核心价值观，具有深厚的爱国情感和中华民族自豪感</w:t>
      </w:r>
      <w:r>
        <w:rPr>
          <w:rFonts w:hint="eastAsia" w:ascii="宋体" w:hAnsi="宋体" w:eastAsia="宋体" w:cs="宋体"/>
          <w:bCs/>
          <w:szCs w:val="21"/>
          <w:lang w:eastAsia="zh-CN"/>
        </w:rPr>
        <w:t>；</w:t>
      </w:r>
    </w:p>
    <w:p w14:paraId="0C7CC06E">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eastAsia="zh-CN"/>
        </w:rPr>
        <w:t>（</w:t>
      </w:r>
      <w:r>
        <w:rPr>
          <w:rFonts w:hint="eastAsia" w:ascii="宋体" w:hAnsi="宋体" w:eastAsia="宋体" w:cs="宋体"/>
          <w:bCs/>
          <w:szCs w:val="21"/>
        </w:rPr>
        <w:t>2</w:t>
      </w:r>
      <w:r>
        <w:rPr>
          <w:rFonts w:hint="eastAsia" w:ascii="宋体" w:hAnsi="宋体" w:eastAsia="宋体" w:cs="宋体"/>
          <w:bCs/>
          <w:szCs w:val="21"/>
          <w:lang w:eastAsia="zh-CN"/>
        </w:rPr>
        <w:t>）</w:t>
      </w:r>
      <w:r>
        <w:rPr>
          <w:rFonts w:hint="eastAsia" w:ascii="宋体" w:hAnsi="宋体" w:eastAsia="宋体" w:cs="宋体"/>
          <w:bCs/>
          <w:szCs w:val="21"/>
        </w:rPr>
        <w:t>崇尚宪法、遵法守纪、崇德向善、诚实守信、尊重生命、热爱劳动，履行道德准则和行为规范，具有社会责任感和社会参与意识</w:t>
      </w:r>
      <w:r>
        <w:rPr>
          <w:rFonts w:hint="eastAsia" w:ascii="宋体" w:hAnsi="宋体" w:eastAsia="宋体" w:cs="宋体"/>
          <w:bCs/>
          <w:szCs w:val="21"/>
          <w:lang w:eastAsia="zh-CN"/>
        </w:rPr>
        <w:t>；</w:t>
      </w:r>
    </w:p>
    <w:p w14:paraId="748EB4BD">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eastAsia="zh-CN"/>
        </w:rPr>
        <w:t>（</w:t>
      </w:r>
      <w:r>
        <w:rPr>
          <w:rFonts w:hint="eastAsia" w:ascii="宋体" w:hAnsi="宋体" w:eastAsia="宋体" w:cs="宋体"/>
          <w:bCs/>
          <w:szCs w:val="21"/>
          <w:lang w:val="en-US" w:eastAsia="zh-CN"/>
        </w:rPr>
        <w:t>3）</w:t>
      </w:r>
      <w:r>
        <w:rPr>
          <w:rFonts w:hint="eastAsia" w:ascii="宋体" w:hAnsi="宋体" w:eastAsia="宋体" w:cs="宋体"/>
          <w:bCs/>
          <w:szCs w:val="21"/>
        </w:rPr>
        <w:t>具有质量意识、环保意识、安全意识、信息素养、工匠精神、创新思维</w:t>
      </w:r>
      <w:r>
        <w:rPr>
          <w:rFonts w:hint="eastAsia" w:ascii="宋体" w:hAnsi="宋体" w:eastAsia="宋体" w:cs="宋体"/>
          <w:bCs/>
          <w:szCs w:val="21"/>
          <w:lang w:eastAsia="zh-CN"/>
        </w:rPr>
        <w:t>；</w:t>
      </w:r>
    </w:p>
    <w:p w14:paraId="5D4B5AF9">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eastAsia="zh-CN"/>
        </w:rPr>
        <w:t>（</w:t>
      </w:r>
      <w:r>
        <w:rPr>
          <w:rFonts w:hint="eastAsia" w:ascii="宋体" w:hAnsi="宋体" w:eastAsia="宋体" w:cs="宋体"/>
          <w:bCs/>
          <w:szCs w:val="21"/>
          <w:lang w:val="en-US" w:eastAsia="zh-CN"/>
        </w:rPr>
        <w:t>4）</w:t>
      </w:r>
      <w:r>
        <w:rPr>
          <w:rFonts w:hint="eastAsia" w:ascii="宋体" w:hAnsi="宋体" w:eastAsia="宋体" w:cs="宋体"/>
          <w:bCs/>
          <w:szCs w:val="21"/>
        </w:rPr>
        <w:t>勇于奋斗、乐观向上，具有自我管理能力、职业生涯规划的意识，有较强的集体意识和团队合作精神</w:t>
      </w:r>
      <w:r>
        <w:rPr>
          <w:rFonts w:hint="eastAsia" w:ascii="宋体" w:hAnsi="宋体" w:eastAsia="宋体" w:cs="宋体"/>
          <w:bCs/>
          <w:szCs w:val="21"/>
          <w:lang w:eastAsia="zh-CN"/>
        </w:rPr>
        <w:t>；</w:t>
      </w:r>
    </w:p>
    <w:p w14:paraId="72B5F511">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eastAsia="zh-CN"/>
        </w:rPr>
      </w:pPr>
      <w:r>
        <w:rPr>
          <w:rFonts w:hint="eastAsia" w:ascii="宋体" w:hAnsi="宋体" w:eastAsia="宋体" w:cs="宋体"/>
          <w:bCs/>
          <w:szCs w:val="21"/>
          <w:lang w:eastAsia="zh-CN"/>
        </w:rPr>
        <w:t>（</w:t>
      </w:r>
      <w:r>
        <w:rPr>
          <w:rFonts w:hint="eastAsia" w:ascii="宋体" w:hAnsi="宋体" w:eastAsia="宋体" w:cs="宋体"/>
          <w:bCs/>
          <w:szCs w:val="21"/>
          <w:lang w:val="en-US" w:eastAsia="zh-CN"/>
        </w:rPr>
        <w:t>5）</w:t>
      </w:r>
      <w:r>
        <w:rPr>
          <w:rFonts w:hint="eastAsia" w:ascii="宋体" w:hAnsi="宋体" w:eastAsia="宋体" w:cs="宋体"/>
          <w:bCs/>
          <w:szCs w:val="21"/>
        </w:rPr>
        <w:t>具有健康的体魄、心理和健全的人格，掌握基本运动知识和</w:t>
      </w:r>
      <w:r>
        <w:rPr>
          <w:rFonts w:hint="eastAsia" w:ascii="宋体" w:hAnsi="宋体" w:eastAsia="宋体" w:cs="宋体"/>
          <w:bCs/>
          <w:szCs w:val="21"/>
          <w:lang w:val="en-US" w:eastAsia="zh-CN"/>
        </w:rPr>
        <w:t>1-2</w:t>
      </w:r>
      <w:r>
        <w:rPr>
          <w:rFonts w:hint="eastAsia" w:ascii="宋体" w:hAnsi="宋体" w:eastAsia="宋体" w:cs="宋体"/>
          <w:bCs/>
          <w:szCs w:val="21"/>
        </w:rPr>
        <w:t>项运动技能，养成良好的健身与卫生习惯，以及良好的行为习惯</w:t>
      </w:r>
      <w:r>
        <w:rPr>
          <w:rFonts w:hint="eastAsia" w:ascii="宋体" w:hAnsi="宋体" w:eastAsia="宋体" w:cs="宋体"/>
          <w:bCs/>
          <w:szCs w:val="21"/>
          <w:lang w:eastAsia="zh-CN"/>
        </w:rPr>
        <w:t>；</w:t>
      </w:r>
    </w:p>
    <w:p w14:paraId="217CAE3D">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eastAsia="宋体" w:cs="宋体"/>
          <w:bCs/>
          <w:szCs w:val="21"/>
          <w:lang w:eastAsia="zh-CN"/>
        </w:rPr>
        <w:t>（</w:t>
      </w:r>
      <w:r>
        <w:rPr>
          <w:rFonts w:hint="eastAsia" w:ascii="宋体" w:hAnsi="宋体" w:eastAsia="宋体" w:cs="宋体"/>
          <w:bCs/>
          <w:szCs w:val="21"/>
          <w:lang w:val="en-US" w:eastAsia="zh-CN"/>
        </w:rPr>
        <w:t>6）</w:t>
      </w:r>
      <w:r>
        <w:rPr>
          <w:rFonts w:hint="eastAsia" w:ascii="宋体" w:hAnsi="宋体" w:eastAsia="宋体" w:cs="宋体"/>
          <w:bCs/>
          <w:szCs w:val="21"/>
        </w:rPr>
        <w:t>具有一定的审美和人文素养，能够形成</w:t>
      </w:r>
      <w:r>
        <w:rPr>
          <w:rFonts w:hint="eastAsia" w:ascii="宋体" w:hAnsi="宋体" w:eastAsia="宋体" w:cs="宋体"/>
          <w:bCs/>
          <w:szCs w:val="21"/>
          <w:lang w:val="en-US" w:eastAsia="zh-CN"/>
        </w:rPr>
        <w:t>1-2</w:t>
      </w:r>
      <w:r>
        <w:rPr>
          <w:rFonts w:hint="eastAsia" w:ascii="宋体" w:hAnsi="宋体" w:eastAsia="宋体" w:cs="宋体"/>
          <w:bCs/>
          <w:szCs w:val="21"/>
        </w:rPr>
        <w:t>项艺术特长或爱好。</w:t>
      </w:r>
    </w:p>
    <w:p w14:paraId="28391003">
      <w:pPr>
        <w:keepNext w:val="0"/>
        <w:keepLines w:val="0"/>
        <w:pageBreakBefore w:val="0"/>
        <w:wordWrap/>
        <w:topLinePunct w:val="0"/>
        <w:bidi w:val="0"/>
        <w:adjustRightInd w:val="0"/>
        <w:snapToGrid w:val="0"/>
        <w:spacing w:line="400" w:lineRule="exact"/>
        <w:ind w:firstLine="480" w:firstLineChars="200"/>
        <w:rPr>
          <w:rFonts w:hint="eastAsia" w:ascii="黑体" w:hAnsi="黑体" w:eastAsia="黑体" w:cs="黑体"/>
          <w:bCs/>
          <w:sz w:val="24"/>
        </w:rPr>
      </w:pPr>
      <w:bookmarkStart w:id="15" w:name="_Toc8440"/>
      <w:r>
        <w:rPr>
          <w:rFonts w:hint="eastAsia" w:ascii="黑体" w:hAnsi="黑体" w:eastAsia="黑体" w:cs="黑体"/>
          <w:bCs/>
          <w:sz w:val="24"/>
        </w:rPr>
        <w:t>六、</w:t>
      </w:r>
      <w:bookmarkEnd w:id="15"/>
      <w:r>
        <w:rPr>
          <w:rFonts w:hint="eastAsia" w:ascii="黑体" w:hAnsi="黑体" w:eastAsia="黑体" w:cs="黑体"/>
          <w:bCs/>
          <w:sz w:val="24"/>
        </w:rPr>
        <w:t>课程设置及要求</w:t>
      </w:r>
    </w:p>
    <w:p w14:paraId="6D8AA094">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default" w:ascii="宋体" w:hAnsi="宋体" w:eastAsia="宋体" w:cs="宋体"/>
          <w:b/>
          <w:szCs w:val="32"/>
          <w:lang w:val="en-US" w:eastAsia="zh-CN"/>
        </w:rPr>
      </w:pPr>
      <w:r>
        <w:rPr>
          <w:rFonts w:hint="eastAsia" w:ascii="宋体" w:hAnsi="宋体" w:eastAsia="宋体" w:cs="宋体"/>
          <w:b/>
          <w:szCs w:val="32"/>
          <w:lang w:val="en-US" w:eastAsia="zh-CN"/>
        </w:rPr>
        <w:t>（一）公共基础课程</w:t>
      </w:r>
    </w:p>
    <w:p w14:paraId="710CD257">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eastAsia="宋体" w:cs="宋体"/>
          <w:bCs/>
          <w:szCs w:val="21"/>
        </w:rPr>
        <w:t>包括《思想道德与法治》《毛泽东思想和中国特色社会主义理论体系概论》《习近平新时代中国特色</w:t>
      </w:r>
      <w:r>
        <w:rPr>
          <w:rFonts w:hint="eastAsia" w:ascii="宋体" w:hAnsi="宋体" w:eastAsia="宋体" w:cs="宋体"/>
          <w:bCs/>
          <w:szCs w:val="21"/>
        </w:rPr>
        <w:t>社会主义思想概论》《形势与政策》《军事理论》《军事技能》《大学英语》《</w:t>
      </w:r>
      <w:r>
        <w:rPr>
          <w:rFonts w:hint="eastAsia" w:ascii="宋体" w:hAnsi="宋体" w:eastAsia="宋体" w:cs="宋体"/>
          <w:bCs/>
          <w:szCs w:val="21"/>
          <w:lang w:val="en-US" w:eastAsia="zh-CN"/>
        </w:rPr>
        <w:t>大学语文</w:t>
      </w:r>
      <w:r>
        <w:rPr>
          <w:rFonts w:hint="eastAsia" w:ascii="宋体" w:hAnsi="宋体" w:eastAsia="宋体" w:cs="宋体"/>
          <w:bCs/>
          <w:szCs w:val="21"/>
        </w:rPr>
        <w:t>》</w:t>
      </w:r>
      <w:r>
        <w:rPr>
          <w:rFonts w:hint="eastAsia" w:ascii="宋体" w:hAnsi="宋体" w:eastAsia="宋体" w:cs="宋体"/>
          <w:bCs/>
          <w:szCs w:val="21"/>
          <w:lang w:eastAsia="zh-CN"/>
        </w:rPr>
        <w:t>《</w:t>
      </w:r>
      <w:r>
        <w:rPr>
          <w:rFonts w:hint="eastAsia" w:ascii="宋体" w:hAnsi="宋体" w:eastAsia="宋体" w:cs="宋体"/>
          <w:bCs/>
          <w:szCs w:val="21"/>
          <w:lang w:val="en-US" w:eastAsia="zh-CN"/>
        </w:rPr>
        <w:t>高等数学</w:t>
      </w:r>
      <w:r>
        <w:rPr>
          <w:rFonts w:hint="default" w:ascii="宋体" w:hAnsi="宋体" w:eastAsia="宋体" w:cs="宋体"/>
          <w:bCs/>
          <w:szCs w:val="21"/>
          <w:lang w:val="en-US" w:eastAsia="zh-CN"/>
        </w:rPr>
        <w:t>A</w:t>
      </w:r>
      <w:r>
        <w:rPr>
          <w:rFonts w:hint="default" w:ascii="宋体" w:hAnsi="宋体" w:eastAsia="宋体" w:cs="宋体"/>
          <w:bCs/>
          <w:szCs w:val="21"/>
          <w:lang w:eastAsia="zh-CN"/>
        </w:rPr>
        <w:t>》</w:t>
      </w:r>
      <w:r>
        <w:rPr>
          <w:rFonts w:hint="default" w:ascii="宋体" w:hAnsi="宋体" w:eastAsia="宋体" w:cs="宋体"/>
          <w:bCs/>
          <w:szCs w:val="21"/>
        </w:rPr>
        <w:t>《</w:t>
      </w:r>
      <w:r>
        <w:rPr>
          <w:rFonts w:hint="eastAsia" w:ascii="宋体" w:hAnsi="宋体" w:eastAsia="宋体" w:cs="宋体"/>
          <w:bCs/>
          <w:szCs w:val="21"/>
        </w:rPr>
        <w:t>大学体育》《大学生职业生涯规划》《</w:t>
      </w:r>
      <w:r>
        <w:rPr>
          <w:rFonts w:hint="eastAsia" w:ascii="宋体" w:hAnsi="宋体" w:eastAsia="宋体" w:cs="宋体"/>
          <w:bCs/>
          <w:szCs w:val="21"/>
          <w:lang w:val="en-US" w:eastAsia="zh-CN"/>
        </w:rPr>
        <w:t>创业基础</w:t>
      </w:r>
      <w:r>
        <w:rPr>
          <w:rFonts w:hint="eastAsia" w:ascii="宋体" w:hAnsi="宋体" w:eastAsia="宋体" w:cs="宋体"/>
          <w:bCs/>
          <w:szCs w:val="21"/>
        </w:rPr>
        <w:t>》《就业指导》《</w:t>
      </w:r>
      <w:r>
        <w:rPr>
          <w:rFonts w:hint="eastAsia" w:ascii="宋体" w:hAnsi="宋体" w:eastAsia="宋体" w:cs="宋体"/>
          <w:bCs/>
          <w:szCs w:val="21"/>
          <w:lang w:val="en-US" w:eastAsia="zh-CN"/>
        </w:rPr>
        <w:t>国家</w:t>
      </w:r>
      <w:r>
        <w:rPr>
          <w:rFonts w:hint="eastAsia" w:ascii="宋体" w:hAnsi="宋体" w:eastAsia="宋体" w:cs="宋体"/>
          <w:bCs/>
          <w:szCs w:val="21"/>
        </w:rPr>
        <w:t>安全教育》《</w:t>
      </w:r>
      <w:r>
        <w:rPr>
          <w:rFonts w:hint="eastAsia" w:ascii="宋体" w:hAnsi="宋体" w:eastAsia="宋体" w:cs="宋体"/>
          <w:bCs/>
          <w:szCs w:val="21"/>
          <w:lang w:val="en-US" w:eastAsia="zh-CN"/>
        </w:rPr>
        <w:t>大学生心理健康</w:t>
      </w:r>
      <w:r>
        <w:rPr>
          <w:rFonts w:hint="eastAsia" w:ascii="宋体" w:hAnsi="宋体" w:eastAsia="宋体" w:cs="宋体"/>
          <w:bCs/>
          <w:szCs w:val="21"/>
        </w:rPr>
        <w:t>》《劳动</w:t>
      </w:r>
      <w:r>
        <w:rPr>
          <w:rFonts w:hint="eastAsia" w:ascii="宋体" w:hAnsi="宋体" w:eastAsia="宋体" w:cs="宋体"/>
          <w:bCs/>
          <w:szCs w:val="21"/>
          <w:lang w:val="en-US" w:eastAsia="zh-CN"/>
        </w:rPr>
        <w:t>教育</w:t>
      </w:r>
      <w:r>
        <w:rPr>
          <w:rFonts w:hint="eastAsia" w:ascii="宋体" w:hAnsi="宋体" w:eastAsia="宋体" w:cs="宋体"/>
          <w:bCs/>
          <w:szCs w:val="21"/>
        </w:rPr>
        <w:t>》</w:t>
      </w:r>
      <w:r>
        <w:rPr>
          <w:rFonts w:hint="eastAsia" w:ascii="宋体" w:hAnsi="宋体" w:eastAsia="宋体" w:cs="宋体"/>
          <w:bCs/>
          <w:szCs w:val="21"/>
          <w:lang w:val="en-US" w:eastAsia="zh-CN"/>
        </w:rPr>
        <w:t>等21</w:t>
      </w:r>
      <w:r>
        <w:rPr>
          <w:rFonts w:hint="eastAsia" w:ascii="宋体" w:hAnsi="宋体" w:eastAsia="宋体" w:cs="宋体"/>
          <w:bCs/>
          <w:szCs w:val="21"/>
        </w:rPr>
        <w:t>门课程，</w:t>
      </w:r>
      <w:r>
        <w:rPr>
          <w:rFonts w:hint="eastAsia" w:ascii="宋体" w:hAnsi="宋体" w:eastAsia="宋体" w:cs="宋体"/>
          <w:bCs/>
          <w:szCs w:val="21"/>
          <w:lang w:val="en-US" w:eastAsia="zh-CN"/>
        </w:rPr>
        <w:t>43.5</w:t>
      </w:r>
      <w:r>
        <w:rPr>
          <w:rFonts w:hint="eastAsia" w:ascii="宋体" w:hAnsi="宋体" w:eastAsia="宋体" w:cs="宋体"/>
          <w:bCs/>
          <w:szCs w:val="21"/>
        </w:rPr>
        <w:t>学分</w:t>
      </w:r>
      <w:r>
        <w:rPr>
          <w:rFonts w:hint="eastAsia" w:ascii="宋体" w:hAnsi="宋体" w:eastAsia="宋体" w:cs="宋体"/>
          <w:bCs/>
          <w:szCs w:val="21"/>
          <w:lang w:eastAsia="zh-CN"/>
        </w:rPr>
        <w:t>。</w:t>
      </w:r>
    </w:p>
    <w:p w14:paraId="1916EC70">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宋体" w:hAnsi="宋体" w:eastAsia="宋体" w:cs="宋体"/>
          <w:b/>
          <w:bCs w:val="0"/>
          <w:kern w:val="2"/>
          <w:sz w:val="21"/>
          <w:szCs w:val="21"/>
          <w:lang w:val="en-US" w:eastAsia="zh-CN" w:bidi="ar"/>
        </w:rPr>
      </w:pPr>
      <w:r>
        <w:rPr>
          <w:rFonts w:hint="eastAsia" w:ascii="宋体" w:hAnsi="宋体" w:cs="宋体"/>
          <w:b/>
          <w:bCs w:val="0"/>
          <w:kern w:val="2"/>
          <w:sz w:val="21"/>
          <w:szCs w:val="21"/>
          <w:lang w:val="en-US" w:eastAsia="zh-CN" w:bidi="ar"/>
        </w:rPr>
        <w:t>1.思想道德与法治</w:t>
      </w:r>
    </w:p>
    <w:p w14:paraId="7355D5EE">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6F935695">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default" w:ascii="宋体" w:hAnsi="宋体" w:eastAsia="宋体" w:cs="宋体"/>
          <w:bCs/>
          <w:szCs w:val="21"/>
          <w:lang w:val="en-US" w:eastAsia="zh-CN"/>
        </w:rPr>
        <w:t>（1）</w:t>
      </w:r>
      <w:r>
        <w:rPr>
          <w:rFonts w:hint="eastAsia" w:ascii="宋体" w:hAnsi="宋体" w:eastAsia="宋体" w:cs="宋体"/>
          <w:bCs/>
          <w:szCs w:val="21"/>
          <w:lang w:val="en-US" w:eastAsia="zh-CN"/>
        </w:rPr>
        <w:t>知识目标：掌握马克思主义人生观、价值观、道德观和法治观理论，把新中国成立至党的十八大前夕中国交通发展的情况、地位及发挥的作用融入至不同模块的理论知识的讲解中，使学生对正确的人生观、崇高的理想信念、中国精神、社会主义核心价值观、社会主义道德核心与原则、中华传统美德和中国革命道德、人类优秀道德成果、公民道德准则、交通精神谱系及习近平法治思想的核心要义、我国社会主义宪法和有关法律的基本精神和主要规定、社会主义法律的本质特征和运行机制等有一个整体把握。</w:t>
      </w:r>
    </w:p>
    <w:p w14:paraId="6C38B7B7">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lang w:val="en-US" w:eastAsia="zh-CN"/>
        </w:rPr>
        <w:t>（</w:t>
      </w:r>
      <w:r>
        <w:rPr>
          <w:rFonts w:hint="default" w:ascii="宋体" w:hAnsi="宋体" w:eastAsia="宋体" w:cs="宋体"/>
          <w:bCs/>
          <w:szCs w:val="21"/>
          <w:lang w:val="en-US" w:eastAsia="zh-CN"/>
        </w:rPr>
        <w:t>2</w:t>
      </w:r>
      <w:r>
        <w:rPr>
          <w:rFonts w:hint="eastAsia" w:ascii="宋体" w:hAnsi="宋体" w:eastAsia="宋体" w:cs="宋体"/>
          <w:bCs/>
          <w:szCs w:val="21"/>
          <w:lang w:val="en-US" w:eastAsia="zh-CN"/>
        </w:rPr>
        <w:t>）能力目标：通过学习，使学生能够运用马克思主义人生观、价值观、道德观和法治观理论正确分析人生历程中的各种矛盾，对人生矛盾有的正确的态度和科学的处理办法；具有较高的自觉践行社会主义核心价值观的能力，并能自觉将远大理想与对祖国的高度责任感、使命感结合起来，具备“逢山开路、遇水架桥”的交通精神，坚定信仰信念信心；能主动探究现实生活中的道德问题，具备明辨是非善恶的能力，自觉砥砺品行；有较高的培养法治思维的能力，尊重和维护法律权威，依法行使权利与履行义务，努力做尊法学法守法用法的模范，最终学生能够独立完成实践活动的设计、组织、管理和参与，具有较高的组织各种活动的一般能力（观察力、记忆力、思维力、创新力、想象力等）和特殊能力（组织能力、管理能力、专业能力等）。</w:t>
      </w:r>
    </w:p>
    <w:p w14:paraId="01DF2F4C">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lang w:val="en-US" w:eastAsia="zh-CN"/>
        </w:rPr>
        <w:t>（</w:t>
      </w:r>
      <w:r>
        <w:rPr>
          <w:rFonts w:hint="default" w:ascii="宋体" w:hAnsi="宋体" w:eastAsia="宋体" w:cs="宋体"/>
          <w:bCs/>
          <w:szCs w:val="21"/>
          <w:lang w:val="en-US" w:eastAsia="zh-CN"/>
        </w:rPr>
        <w:t>3</w:t>
      </w:r>
      <w:r>
        <w:rPr>
          <w:rFonts w:hint="eastAsia" w:ascii="宋体" w:hAnsi="宋体" w:eastAsia="宋体" w:cs="宋体"/>
          <w:bCs/>
          <w:szCs w:val="21"/>
          <w:lang w:val="en-US" w:eastAsia="zh-CN"/>
        </w:rPr>
        <w:t>）素质目标：通过学习学生具备科学的人文素养、勇敢的批判精神和与时俱进的创新精神，对形形色色的价值观具有独立的思考能力和判断能力，使社会主义核心价值观内化于心、外化于行；具有认真、严谨、求实、敬业的工作态度和学习态度，具有换位思考的宽容精神、互利共赢的合作精神，廉洁自律、爱岗敬业的职业操守，明大德、守公德、严私德；具备交通人解放思想、实事求是、开拓创新、锐意进取、求真务实的精神品质；具有较高的法治素养，尊重法律权威、养成守法习惯、提高用法能力、守住法律底线，成为尊法学法守法用法的先锋。</w:t>
      </w:r>
    </w:p>
    <w:p w14:paraId="0F477948">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786812D4">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eastAsia" w:ascii="宋体" w:hAnsi="宋体" w:eastAsia="宋体" w:cs="宋体"/>
          <w:bCs/>
          <w:szCs w:val="21"/>
          <w:lang w:val="en-US" w:eastAsia="zh-CN"/>
        </w:rPr>
        <w:t>《思想道德与法治》是一门融思想性、政治性、科学性、理论性、实践性于一体的思想政治理论课，是高校思想政治理论课的必修课程，理论学时</w:t>
      </w:r>
      <w:r>
        <w:rPr>
          <w:rFonts w:hint="default" w:ascii="宋体" w:hAnsi="宋体" w:eastAsia="宋体" w:cs="宋体"/>
          <w:bCs/>
          <w:szCs w:val="21"/>
          <w:lang w:val="en-US" w:eastAsia="zh-CN"/>
        </w:rPr>
        <w:t>40</w:t>
      </w:r>
      <w:r>
        <w:rPr>
          <w:rFonts w:hint="eastAsia" w:ascii="宋体" w:hAnsi="宋体" w:eastAsia="宋体" w:cs="宋体"/>
          <w:bCs/>
          <w:szCs w:val="21"/>
          <w:lang w:val="en-US" w:eastAsia="zh-CN"/>
        </w:rPr>
        <w:t>，实践学时</w:t>
      </w:r>
      <w:r>
        <w:rPr>
          <w:rFonts w:hint="default" w:ascii="宋体" w:hAnsi="宋体" w:eastAsia="宋体" w:cs="宋体"/>
          <w:bCs/>
          <w:szCs w:val="21"/>
          <w:lang w:val="en-US" w:eastAsia="zh-CN"/>
        </w:rPr>
        <w:t>8</w:t>
      </w:r>
      <w:r>
        <w:rPr>
          <w:rFonts w:hint="eastAsia" w:ascii="宋体" w:hAnsi="宋体" w:eastAsia="宋体" w:cs="宋体"/>
          <w:bCs/>
          <w:szCs w:val="21"/>
          <w:lang w:val="en-US" w:eastAsia="zh-CN"/>
        </w:rPr>
        <w:t>。本课程由绪论和六个章节组成，共分为三个教学模块，分别是思想教育模块、道德教育模块和法治教育模块。（</w:t>
      </w:r>
      <w:r>
        <w:rPr>
          <w:rFonts w:hint="default" w:ascii="宋体" w:hAnsi="宋体" w:eastAsia="宋体" w:cs="宋体"/>
          <w:bCs/>
          <w:szCs w:val="21"/>
          <w:lang w:val="en-US" w:eastAsia="zh-CN"/>
        </w:rPr>
        <w:t>1</w:t>
      </w:r>
      <w:r>
        <w:rPr>
          <w:rFonts w:hint="eastAsia" w:ascii="宋体" w:hAnsi="宋体" w:eastAsia="宋体" w:cs="宋体"/>
          <w:bCs/>
          <w:szCs w:val="21"/>
          <w:lang w:val="en-US" w:eastAsia="zh-CN"/>
        </w:rPr>
        <w:t>）担当复兴大任，成就时代新人；（</w:t>
      </w:r>
      <w:r>
        <w:rPr>
          <w:rFonts w:hint="default" w:ascii="宋体" w:hAnsi="宋体" w:eastAsia="宋体" w:cs="宋体"/>
          <w:bCs/>
          <w:szCs w:val="21"/>
          <w:lang w:val="en-US" w:eastAsia="zh-CN"/>
        </w:rPr>
        <w:t>2</w:t>
      </w:r>
      <w:r>
        <w:rPr>
          <w:rFonts w:hint="eastAsia" w:ascii="宋体" w:hAnsi="宋体" w:eastAsia="宋体" w:cs="宋体"/>
          <w:bCs/>
          <w:szCs w:val="21"/>
          <w:lang w:val="en-US" w:eastAsia="zh-CN"/>
        </w:rPr>
        <w:t>）领悟人生真谛，把握人生方向；（</w:t>
      </w:r>
      <w:r>
        <w:rPr>
          <w:rFonts w:hint="default" w:ascii="宋体" w:hAnsi="宋体" w:eastAsia="宋体" w:cs="宋体"/>
          <w:bCs/>
          <w:szCs w:val="21"/>
          <w:lang w:val="en-US" w:eastAsia="zh-CN"/>
        </w:rPr>
        <w:t>3</w:t>
      </w:r>
      <w:r>
        <w:rPr>
          <w:rFonts w:hint="eastAsia" w:ascii="宋体" w:hAnsi="宋体" w:eastAsia="宋体" w:cs="宋体"/>
          <w:bCs/>
          <w:szCs w:val="21"/>
          <w:lang w:val="en-US" w:eastAsia="zh-CN"/>
        </w:rPr>
        <w:t>）追求远大理想，坚定崇高信念；（</w:t>
      </w:r>
      <w:r>
        <w:rPr>
          <w:rFonts w:hint="default" w:ascii="宋体" w:hAnsi="宋体" w:eastAsia="宋体" w:cs="宋体"/>
          <w:bCs/>
          <w:szCs w:val="21"/>
          <w:lang w:val="en-US" w:eastAsia="zh-CN"/>
        </w:rPr>
        <w:t>4</w:t>
      </w:r>
      <w:r>
        <w:rPr>
          <w:rFonts w:hint="eastAsia" w:ascii="宋体" w:hAnsi="宋体" w:eastAsia="宋体" w:cs="宋体"/>
          <w:bCs/>
          <w:szCs w:val="21"/>
          <w:lang w:val="en-US" w:eastAsia="zh-CN"/>
        </w:rPr>
        <w:t>）继承优良传统，弘扬中国精神；（</w:t>
      </w:r>
      <w:r>
        <w:rPr>
          <w:rFonts w:hint="default" w:ascii="宋体" w:hAnsi="宋体" w:eastAsia="宋体" w:cs="宋体"/>
          <w:bCs/>
          <w:szCs w:val="21"/>
          <w:lang w:val="en-US" w:eastAsia="zh-CN"/>
        </w:rPr>
        <w:t>5</w:t>
      </w:r>
      <w:r>
        <w:rPr>
          <w:rFonts w:hint="eastAsia" w:ascii="宋体" w:hAnsi="宋体" w:eastAsia="宋体" w:cs="宋体"/>
          <w:bCs/>
          <w:szCs w:val="21"/>
          <w:lang w:val="en-US" w:eastAsia="zh-CN"/>
        </w:rPr>
        <w:t>）明确价值要求，践行价值准则；（</w:t>
      </w:r>
      <w:r>
        <w:rPr>
          <w:rFonts w:hint="default" w:ascii="宋体" w:hAnsi="宋体" w:eastAsia="宋体" w:cs="宋体"/>
          <w:bCs/>
          <w:szCs w:val="21"/>
          <w:lang w:val="en-US" w:eastAsia="zh-CN"/>
        </w:rPr>
        <w:t>6</w:t>
      </w:r>
      <w:r>
        <w:rPr>
          <w:rFonts w:hint="eastAsia" w:ascii="宋体" w:hAnsi="宋体" w:eastAsia="宋体" w:cs="宋体"/>
          <w:bCs/>
          <w:szCs w:val="21"/>
          <w:lang w:val="en-US" w:eastAsia="zh-CN"/>
        </w:rPr>
        <w:t>）遵守道德规范，锤炼道德品格；（</w:t>
      </w:r>
      <w:r>
        <w:rPr>
          <w:rFonts w:hint="default" w:ascii="宋体" w:hAnsi="宋体" w:eastAsia="宋体" w:cs="宋体"/>
          <w:bCs/>
          <w:szCs w:val="21"/>
          <w:lang w:val="en-US" w:eastAsia="zh-CN"/>
        </w:rPr>
        <w:t>7</w:t>
      </w:r>
      <w:r>
        <w:rPr>
          <w:rFonts w:hint="eastAsia" w:ascii="宋体" w:hAnsi="宋体" w:eastAsia="宋体" w:cs="宋体"/>
          <w:bCs/>
          <w:szCs w:val="21"/>
          <w:lang w:val="en-US" w:eastAsia="zh-CN"/>
        </w:rPr>
        <w:t>）学习法治思想，提升法治素养。</w:t>
      </w:r>
    </w:p>
    <w:p w14:paraId="32EAA094">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7390502D">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rPr>
      </w:pPr>
      <w:r>
        <w:rPr>
          <w:rFonts w:hint="default" w:ascii="宋体" w:hAnsi="宋体" w:eastAsia="宋体" w:cs="宋体"/>
          <w:bCs/>
          <w:szCs w:val="21"/>
          <w:lang w:val="en-US" w:eastAsia="zh-CN"/>
        </w:rPr>
        <w:t>（1）</w:t>
      </w:r>
      <w:r>
        <w:rPr>
          <w:rFonts w:hint="eastAsia" w:ascii="宋体" w:hAnsi="宋体" w:eastAsia="宋体" w:cs="宋体"/>
          <w:bCs/>
          <w:szCs w:val="21"/>
          <w:lang w:val="en-US" w:eastAsia="zh-CN"/>
        </w:rPr>
        <w:t>教师要求：教师要具备较高的专业理论素养，熟知教材理论内容，具备实践教学能力，符合“六要”要求。有较精湛的教学技能，能因材施教，根据不同专业学生进行有针对性的教学设计。教学设计一要根据教育教学大纲和学校教学计划进行，确保教学目标的达成；二要结合学生的实际情况和特点，确保教学内容和方法的有效性；三要具有科学性、系统性和规范性，确保教学流程的合理性和教学效果的显著性。能够将理论与专业实际相结合，教学效果良好。</w:t>
      </w:r>
    </w:p>
    <w:p w14:paraId="1138E580">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val="en-US" w:eastAsia="zh-CN"/>
        </w:rPr>
      </w:pPr>
      <w:r>
        <w:rPr>
          <w:rFonts w:hint="eastAsia" w:ascii="宋体" w:hAnsi="宋体" w:eastAsia="宋体" w:cs="宋体"/>
          <w:bCs/>
          <w:szCs w:val="21"/>
          <w:lang w:val="en-US" w:eastAsia="zh-CN"/>
        </w:rPr>
        <w:t>（2）</w:t>
      </w:r>
      <w:r>
        <w:rPr>
          <w:rFonts w:hint="default" w:ascii="宋体" w:hAnsi="宋体" w:eastAsia="宋体" w:cs="宋体"/>
          <w:bCs/>
          <w:szCs w:val="21"/>
          <w:lang w:val="en-US" w:eastAsia="zh-CN"/>
        </w:rPr>
        <w:t>教学条件</w:t>
      </w:r>
      <w:r>
        <w:rPr>
          <w:rFonts w:hint="eastAsia" w:ascii="宋体" w:hAnsi="宋体" w:eastAsia="宋体" w:cs="宋体"/>
          <w:bCs/>
          <w:szCs w:val="21"/>
          <w:lang w:val="en-US" w:eastAsia="zh-CN"/>
        </w:rPr>
        <w:t>：</w:t>
      </w:r>
      <w:r>
        <w:rPr>
          <w:rFonts w:hint="default" w:ascii="宋体" w:hAnsi="宋体" w:eastAsia="宋体" w:cs="宋体"/>
          <w:bCs/>
          <w:szCs w:val="21"/>
          <w:lang w:val="en-US" w:eastAsia="zh-CN"/>
        </w:rPr>
        <w:t>多媒体辅助课件，混合式教学，课内实践、马克思主义学院VR实验室等，提供与教学内容和教学方法相适应的学习条件和学习资源，以促进学生的参与和合作。</w:t>
      </w:r>
    </w:p>
    <w:p w14:paraId="599E1720">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val="en-US" w:eastAsia="zh-CN"/>
        </w:rPr>
      </w:pPr>
      <w:r>
        <w:rPr>
          <w:rFonts w:hint="default" w:ascii="宋体" w:hAnsi="宋体" w:eastAsia="宋体" w:cs="宋体"/>
          <w:bCs/>
          <w:szCs w:val="21"/>
          <w:lang w:val="en-US" w:eastAsia="zh-CN"/>
        </w:rPr>
        <w:t>（3）教学方</w:t>
      </w:r>
      <w:r>
        <w:rPr>
          <w:rFonts w:hint="eastAsia" w:ascii="宋体" w:hAnsi="宋体" w:eastAsia="宋体" w:cs="宋体"/>
          <w:bCs/>
          <w:szCs w:val="21"/>
          <w:lang w:val="en-US" w:eastAsia="zh-CN"/>
        </w:rPr>
        <w:t>法：</w:t>
      </w:r>
      <w:r>
        <w:rPr>
          <w:rFonts w:hint="default" w:ascii="宋体" w:hAnsi="宋体" w:eastAsia="宋体" w:cs="宋体"/>
          <w:bCs/>
          <w:szCs w:val="21"/>
          <w:lang w:val="en-US" w:eastAsia="zh-CN"/>
        </w:rPr>
        <w:t>理论讲授法、逻辑推演法、</w:t>
      </w:r>
      <w:r>
        <w:rPr>
          <w:rFonts w:hint="eastAsia" w:ascii="宋体" w:hAnsi="宋体" w:eastAsia="宋体" w:cs="宋体"/>
          <w:bCs/>
          <w:szCs w:val="21"/>
          <w:lang w:val="en-US" w:eastAsia="zh-CN"/>
        </w:rPr>
        <w:t>问题链式教学法</w:t>
      </w:r>
      <w:r>
        <w:rPr>
          <w:rFonts w:hint="default" w:ascii="宋体" w:hAnsi="宋体" w:eastAsia="宋体" w:cs="宋体"/>
          <w:bCs/>
          <w:szCs w:val="21"/>
          <w:lang w:val="en-US" w:eastAsia="zh-CN"/>
        </w:rPr>
        <w:t>、</w:t>
      </w:r>
      <w:r>
        <w:rPr>
          <w:rFonts w:hint="eastAsia" w:ascii="宋体" w:hAnsi="宋体" w:eastAsia="宋体" w:cs="宋体"/>
          <w:bCs/>
          <w:szCs w:val="21"/>
          <w:lang w:val="en-US" w:eastAsia="zh-CN"/>
        </w:rPr>
        <w:t>案例分析法</w:t>
      </w:r>
      <w:r>
        <w:rPr>
          <w:rFonts w:hint="default" w:ascii="宋体" w:hAnsi="宋体" w:eastAsia="宋体" w:cs="宋体"/>
          <w:bCs/>
          <w:szCs w:val="21"/>
          <w:lang w:val="en-US" w:eastAsia="zh-CN"/>
        </w:rPr>
        <w:t>、</w:t>
      </w:r>
      <w:r>
        <w:rPr>
          <w:rFonts w:hint="eastAsia" w:ascii="宋体" w:hAnsi="宋体" w:eastAsia="宋体" w:cs="宋体"/>
          <w:bCs/>
          <w:szCs w:val="21"/>
          <w:lang w:val="en-US" w:eastAsia="zh-CN"/>
        </w:rPr>
        <w:t>课堂讨论法</w:t>
      </w:r>
      <w:r>
        <w:rPr>
          <w:rFonts w:hint="default" w:ascii="宋体" w:hAnsi="宋体" w:eastAsia="宋体" w:cs="宋体"/>
          <w:bCs/>
          <w:szCs w:val="21"/>
          <w:lang w:val="en-US" w:eastAsia="zh-CN"/>
        </w:rPr>
        <w:t>、</w:t>
      </w:r>
      <w:r>
        <w:rPr>
          <w:rFonts w:hint="eastAsia" w:ascii="宋体" w:hAnsi="宋体" w:eastAsia="宋体" w:cs="宋体"/>
          <w:bCs/>
          <w:szCs w:val="21"/>
          <w:lang w:val="en-US" w:eastAsia="zh-CN"/>
        </w:rPr>
        <w:t>视频教学法</w:t>
      </w:r>
      <w:r>
        <w:rPr>
          <w:rFonts w:hint="default" w:ascii="宋体" w:hAnsi="宋体" w:eastAsia="宋体" w:cs="宋体"/>
          <w:bCs/>
          <w:szCs w:val="21"/>
          <w:lang w:val="en-US" w:eastAsia="zh-CN"/>
        </w:rPr>
        <w:t>、</w:t>
      </w:r>
      <w:r>
        <w:rPr>
          <w:rFonts w:hint="eastAsia" w:ascii="宋体" w:hAnsi="宋体" w:eastAsia="宋体" w:cs="宋体"/>
          <w:bCs/>
          <w:szCs w:val="21"/>
          <w:lang w:val="en-US" w:eastAsia="zh-CN"/>
        </w:rPr>
        <w:t>任务驱动法</w:t>
      </w:r>
      <w:r>
        <w:rPr>
          <w:rFonts w:hint="default" w:ascii="宋体" w:hAnsi="宋体" w:eastAsia="宋体" w:cs="宋体"/>
          <w:bCs/>
          <w:szCs w:val="21"/>
          <w:lang w:val="en-US" w:eastAsia="zh-CN"/>
        </w:rPr>
        <w:t>、</w:t>
      </w:r>
      <w:r>
        <w:rPr>
          <w:rFonts w:hint="eastAsia" w:ascii="宋体" w:hAnsi="宋体" w:eastAsia="宋体" w:cs="宋体"/>
          <w:bCs/>
          <w:szCs w:val="21"/>
          <w:lang w:val="en-US" w:eastAsia="zh-CN"/>
        </w:rPr>
        <w:t>情景式教学法</w:t>
      </w:r>
      <w:r>
        <w:rPr>
          <w:rFonts w:hint="default" w:ascii="宋体" w:hAnsi="宋体" w:eastAsia="宋体" w:cs="宋体"/>
          <w:bCs/>
          <w:szCs w:val="21"/>
          <w:lang w:val="en-US" w:eastAsia="zh-CN"/>
        </w:rPr>
        <w:t>等。</w:t>
      </w:r>
    </w:p>
    <w:p w14:paraId="6CF636EA">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（4）考核评价：过程考核</w:t>
      </w:r>
      <w:r>
        <w:rPr>
          <w:rFonts w:hint="default" w:ascii="宋体" w:hAnsi="宋体" w:eastAsia="宋体" w:cs="宋体"/>
          <w:bCs/>
          <w:szCs w:val="21"/>
          <w:lang w:val="en-US" w:eastAsia="zh-CN"/>
        </w:rPr>
        <w:t>50%+</w:t>
      </w:r>
      <w:r>
        <w:rPr>
          <w:rFonts w:hint="eastAsia" w:ascii="宋体" w:hAnsi="宋体" w:eastAsia="宋体" w:cs="宋体"/>
          <w:bCs/>
          <w:szCs w:val="21"/>
          <w:lang w:val="en-US" w:eastAsia="zh-CN"/>
        </w:rPr>
        <w:t>期末考核</w:t>
      </w:r>
      <w:r>
        <w:rPr>
          <w:rFonts w:hint="default" w:ascii="宋体" w:hAnsi="宋体" w:eastAsia="宋体" w:cs="宋体"/>
          <w:bCs/>
          <w:szCs w:val="21"/>
          <w:lang w:val="en-US" w:eastAsia="zh-CN"/>
        </w:rPr>
        <w:t>50%</w:t>
      </w:r>
      <w:r>
        <w:rPr>
          <w:rFonts w:hint="eastAsia" w:ascii="宋体" w:hAnsi="宋体" w:eastAsia="宋体" w:cs="宋体"/>
          <w:bCs/>
          <w:szCs w:val="21"/>
          <w:lang w:val="en-US" w:eastAsia="zh-CN"/>
        </w:rPr>
        <w:t>。过程考核主要由以下三部分组成：①出勤情况、课堂纪律（</w:t>
      </w:r>
      <w:r>
        <w:rPr>
          <w:rFonts w:hint="default" w:ascii="宋体" w:hAnsi="宋体" w:eastAsia="宋体" w:cs="宋体"/>
          <w:bCs/>
          <w:szCs w:val="21"/>
          <w:lang w:val="en-US" w:eastAsia="zh-CN"/>
        </w:rPr>
        <w:t>20%</w:t>
      </w:r>
      <w:r>
        <w:rPr>
          <w:rFonts w:hint="eastAsia" w:ascii="宋体" w:hAnsi="宋体" w:eastAsia="宋体" w:cs="宋体"/>
          <w:bCs/>
          <w:szCs w:val="21"/>
          <w:lang w:val="en-US" w:eastAsia="zh-CN"/>
        </w:rPr>
        <w:t>）；②原著阅读（</w:t>
      </w:r>
      <w:r>
        <w:rPr>
          <w:rFonts w:hint="default" w:ascii="宋体" w:hAnsi="宋体" w:eastAsia="宋体" w:cs="宋体"/>
          <w:bCs/>
          <w:szCs w:val="21"/>
          <w:lang w:val="en-US" w:eastAsia="zh-CN"/>
        </w:rPr>
        <w:t>20%</w:t>
      </w:r>
      <w:r>
        <w:rPr>
          <w:rFonts w:hint="eastAsia" w:ascii="宋体" w:hAnsi="宋体" w:eastAsia="宋体" w:cs="宋体"/>
          <w:bCs/>
          <w:szCs w:val="21"/>
          <w:lang w:val="en-US" w:eastAsia="zh-CN"/>
        </w:rPr>
        <w:t>）；③实践作业（</w:t>
      </w:r>
      <w:r>
        <w:rPr>
          <w:rFonts w:hint="default" w:ascii="宋体" w:hAnsi="宋体" w:eastAsia="宋体" w:cs="宋体"/>
          <w:bCs/>
          <w:szCs w:val="21"/>
          <w:lang w:val="en-US" w:eastAsia="zh-CN"/>
        </w:rPr>
        <w:t>60%</w:t>
      </w:r>
      <w:r>
        <w:rPr>
          <w:rFonts w:hint="eastAsia" w:ascii="宋体" w:hAnsi="宋体" w:eastAsia="宋体" w:cs="宋体"/>
          <w:bCs/>
          <w:szCs w:val="21"/>
          <w:lang w:val="en-US" w:eastAsia="zh-CN"/>
        </w:rPr>
        <w:t>）。三部分成绩按比例折算为总成绩的</w:t>
      </w:r>
      <w:r>
        <w:rPr>
          <w:rFonts w:hint="default" w:ascii="宋体" w:hAnsi="宋体" w:eastAsia="宋体" w:cs="宋体"/>
          <w:bCs/>
          <w:szCs w:val="21"/>
          <w:lang w:val="en-US" w:eastAsia="zh-CN"/>
        </w:rPr>
        <w:t>50</w:t>
      </w:r>
      <w:r>
        <w:rPr>
          <w:rFonts w:hint="eastAsia" w:ascii="宋体" w:hAnsi="宋体" w:eastAsia="宋体" w:cs="宋体"/>
          <w:bCs/>
          <w:szCs w:val="21"/>
          <w:lang w:val="en-US" w:eastAsia="zh-CN"/>
        </w:rPr>
        <w:t>％。</w:t>
      </w:r>
    </w:p>
    <w:p w14:paraId="51D3C300">
      <w:pPr>
        <w:keepNext w:val="0"/>
        <w:keepLines w:val="0"/>
        <w:pageBreakBefore w:val="0"/>
        <w:wordWrap/>
        <w:topLinePunct w:val="0"/>
        <w:bidi w:val="0"/>
        <w:adjustRightInd w:val="0"/>
        <w:snapToGrid w:val="0"/>
        <w:spacing w:line="400" w:lineRule="exact"/>
        <w:ind w:firstLine="422" w:firstLineChars="200"/>
        <w:rPr>
          <w:rFonts w:hint="eastAsia" w:ascii="宋体" w:hAnsi="宋体" w:eastAsia="宋体" w:cs="宋体"/>
          <w:b/>
          <w:bCs w:val="0"/>
          <w:szCs w:val="21"/>
          <w:lang w:val="en-US" w:eastAsia="zh-CN"/>
        </w:rPr>
      </w:pPr>
      <w:r>
        <w:rPr>
          <w:rFonts w:hint="eastAsia" w:ascii="宋体" w:hAnsi="宋体" w:cs="宋体"/>
          <w:b/>
          <w:bCs w:val="0"/>
          <w:szCs w:val="21"/>
          <w:lang w:val="en-US" w:eastAsia="zh-CN"/>
        </w:rPr>
        <w:t>2</w:t>
      </w:r>
      <w:r>
        <w:rPr>
          <w:rFonts w:hint="eastAsia" w:ascii="宋体" w:hAnsi="宋体" w:eastAsia="宋体" w:cs="宋体"/>
          <w:b/>
          <w:bCs w:val="0"/>
          <w:szCs w:val="21"/>
          <w:lang w:val="en-US" w:eastAsia="zh-CN"/>
        </w:rPr>
        <w:t>.</w:t>
      </w:r>
      <w:r>
        <w:rPr>
          <w:rFonts w:hint="eastAsia"/>
          <w:b/>
          <w:bCs w:val="0"/>
          <w:color w:val="auto"/>
          <w:spacing w:val="-4"/>
        </w:rPr>
        <w:t>毛</w:t>
      </w:r>
      <w:r>
        <w:rPr>
          <w:rFonts w:hint="eastAsia"/>
          <w:b/>
          <w:bCs/>
          <w:color w:val="auto"/>
          <w:spacing w:val="-4"/>
        </w:rPr>
        <w:t>泽东思想和中国特色社会主义理论体系概</w:t>
      </w:r>
      <w:r>
        <w:rPr>
          <w:rFonts w:hint="default"/>
          <w:b/>
          <w:bCs/>
          <w:color w:val="auto"/>
          <w:spacing w:val="-4"/>
        </w:rPr>
        <w:t>论</w:t>
      </w:r>
    </w:p>
    <w:p w14:paraId="60954502">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宋体" w:hAnsi="宋体" w:eastAsia="宋体" w:cs="宋体"/>
          <w:b/>
          <w:bCs w:val="0"/>
          <w:kern w:val="2"/>
          <w:sz w:val="21"/>
          <w:szCs w:val="21"/>
          <w:lang w:val="en-US" w:eastAsia="zh-CN" w:bidi="ar"/>
        </w:rPr>
      </w:pPr>
      <w:r>
        <w:rPr>
          <w:rFonts w:hint="default" w:ascii="宋体" w:hAnsi="宋体" w:eastAsia="宋体" w:cs="宋体"/>
          <w:b/>
          <w:bCs w:val="0"/>
          <w:kern w:val="2"/>
          <w:sz w:val="21"/>
          <w:szCs w:val="21"/>
          <w:lang w:val="en-US" w:eastAsia="zh-CN" w:bidi="ar"/>
        </w:rPr>
        <w:t>课程目标：</w:t>
      </w:r>
    </w:p>
    <w:p w14:paraId="00737064">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default" w:ascii="宋体" w:hAnsi="宋体" w:eastAsia="宋体" w:cs="宋体"/>
          <w:bCs/>
          <w:szCs w:val="21"/>
          <w:lang w:val="en-US" w:eastAsia="zh-CN"/>
        </w:rPr>
        <w:t>（1）知识目标：深刻领会马克思主义中国化两次历史性飞跃的丰富内涵和精神实质，完整把握基本原理、基本观点和基本知识。把新中国成立至党的十八大前夕中国交通发展的情况、地位及发挥的作用融入至不同时期理论的讲解中，探寻其中蕴含的哲学思维。进而把马克思主义中国化的理论成果及其具体做法，作为一个一脉相承而又与时俱进的统一整体来把握，真正掌握马克思主义的立场、观点和方法，不断提高自身政治理论素养，增强走中国特色社会主义道路的坚定信念。</w:t>
      </w:r>
    </w:p>
    <w:p w14:paraId="44DFD484">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default" w:ascii="宋体" w:hAnsi="宋体" w:eastAsia="宋体" w:cs="宋体"/>
          <w:bCs/>
          <w:szCs w:val="21"/>
          <w:lang w:val="en-US" w:eastAsia="zh-CN"/>
        </w:rPr>
        <w:t>（2）能力目标：通过本课程的学习，能够运用马克思主义、毛泽东思想、中国特色社会主义理论体系的基本原理、观点、方法来正确分析、发现和解决社会现实问题，形成正确的思维方式。培养大学生综合运用哲学、社会学、所学专业等多学科知识的能力，了解国家历来对于交通方面建设的重视和发展，引导其明确专业发展趋势，自觉思考如何为国家的发展提升自己的专业能力。</w:t>
      </w:r>
    </w:p>
    <w:p w14:paraId="3B5A4567">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default" w:ascii="宋体" w:hAnsi="宋体" w:eastAsia="宋体" w:cs="宋体"/>
          <w:bCs/>
          <w:szCs w:val="21"/>
          <w:lang w:val="en-US" w:eastAsia="zh-CN"/>
        </w:rPr>
        <w:t>（3）素质目标：学生的思想道德素质获得极大提高，充分理解马克思主义中国化时代化的重大意义，理解本课程理论的现实意义。了解从共产党成立到新时代中国的发展历程，从而自觉地继承和发扬中国人民的爱国主义传统和革命传统，进一步增强民族自尊心、自信心和自豪感，坚定对马克思主义的信仰、对中国共产党的信任、对社会主义的信心。更重要的是培养学生提升自身担当感和责任感，增强对国家和学校的认同感，增强自身团结意识，自觉将个人发展与国家发展联系起来。</w:t>
      </w:r>
    </w:p>
    <w:p w14:paraId="34021508">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22" w:firstLineChars="200"/>
        <w:textAlignment w:val="auto"/>
        <w:rPr>
          <w:rFonts w:hint="default" w:ascii="宋体" w:hAnsi="宋体" w:eastAsia="宋体" w:cs="宋体"/>
          <w:b/>
          <w:bCs w:val="0"/>
          <w:szCs w:val="21"/>
          <w:lang w:eastAsia="zh-CN"/>
        </w:rPr>
      </w:pPr>
      <w:r>
        <w:rPr>
          <w:rFonts w:hint="default" w:ascii="宋体" w:hAnsi="宋体" w:eastAsia="宋体" w:cs="宋体"/>
          <w:b/>
          <w:bCs w:val="0"/>
          <w:szCs w:val="21"/>
          <w:lang w:val="en-US" w:eastAsia="zh-CN"/>
        </w:rPr>
        <w:t>主要内容：</w:t>
      </w:r>
    </w:p>
    <w:p w14:paraId="785FE6F6">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default" w:ascii="宋体" w:hAnsi="宋体" w:eastAsia="宋体" w:cs="宋体"/>
          <w:bCs/>
          <w:szCs w:val="21"/>
          <w:lang w:val="en-US" w:eastAsia="zh-CN"/>
        </w:rPr>
        <w:t>（1）马克思主义中国化时代化的历史进程与理论成果；（2）毛泽东思想及其历史地位；（3）新民主主义革命理论；（4）社会主义改造理论；（5）社会主义建设道路初步探索的理论成果；（6）中国特色社会主义理论体系的形成发展；（7）邓小平理论；（8）“三个代表”重要思想；（9）科学发展观。</w:t>
      </w:r>
    </w:p>
    <w:p w14:paraId="5A04E9DD">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22" w:firstLineChars="200"/>
        <w:textAlignment w:val="auto"/>
        <w:rPr>
          <w:rFonts w:hint="default" w:ascii="宋体" w:hAnsi="宋体" w:eastAsia="宋体" w:cs="宋体"/>
          <w:b/>
          <w:bCs w:val="0"/>
          <w:szCs w:val="21"/>
          <w:lang w:eastAsia="zh-CN"/>
        </w:rPr>
      </w:pPr>
      <w:r>
        <w:rPr>
          <w:rFonts w:hint="default" w:ascii="宋体" w:hAnsi="宋体" w:eastAsia="宋体" w:cs="宋体"/>
          <w:b/>
          <w:bCs w:val="0"/>
          <w:szCs w:val="21"/>
          <w:lang w:val="en-US" w:eastAsia="zh-CN"/>
        </w:rPr>
        <w:t>教学要求：</w:t>
      </w:r>
    </w:p>
    <w:p w14:paraId="7BE0C68B">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default" w:ascii="宋体" w:hAnsi="宋体" w:eastAsia="宋体" w:cs="宋体"/>
          <w:bCs/>
          <w:szCs w:val="21"/>
          <w:lang w:val="en-US" w:eastAsia="zh-CN"/>
        </w:rPr>
        <w:t>（1）教师要求：具备较高的政治站位，随时了解时政新闻并具备基本的分析能力。熟知教材理论内容，既能讲出基本理论，还能分析理论提出的背景、原因及意义。能够将理论与专业实际相结合，做到因材施教。</w:t>
      </w:r>
    </w:p>
    <w:p w14:paraId="174AABE1">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default" w:ascii="宋体" w:hAnsi="宋体" w:eastAsia="宋体" w:cs="宋体"/>
          <w:bCs/>
          <w:szCs w:val="21"/>
          <w:lang w:val="en-US" w:eastAsia="zh-CN"/>
        </w:rPr>
        <w:t>（2）教学条件：多媒体辅助课件，马克思主义学院VR实验室，超星学习通。</w:t>
      </w:r>
    </w:p>
    <w:p w14:paraId="159CE57D">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default" w:ascii="宋体" w:hAnsi="宋体" w:eastAsia="宋体" w:cs="宋体"/>
          <w:bCs/>
          <w:szCs w:val="21"/>
          <w:lang w:val="en-US" w:eastAsia="zh-CN"/>
        </w:rPr>
        <w:t>（3）教学方法：问题链式教学法，根据章节重难点内容，设计问题链，通过对问题链的讲解和探讨串联章节内容；案例教学法，注重授课内容相关度与学生关注度相结合，案例中应结合专业加入与国家交通发展相关的内容；讨论教学法，提出问题，学生组成小组发表观点；视频教学法，在官方媒体上下载一些纪录片，通过人工智能生成一些符合课程要求又能够提升课程趣味性的视频；任务驱动法，每节课都会给学生留思考题和阅读书目，让学生养成用马克思主义哲学思维探究问题的思维方法和实践方式。</w:t>
      </w:r>
    </w:p>
    <w:p w14:paraId="1838B829">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default" w:ascii="宋体" w:hAnsi="宋体" w:eastAsia="宋体" w:cs="宋体"/>
          <w:bCs/>
          <w:szCs w:val="21"/>
          <w:lang w:val="en-US" w:eastAsia="zh-CN"/>
        </w:rPr>
        <w:t>（4）考核评价：过程考核占50%+期末考核占50%。过程考核主要由以下三部分组成：①出勤情况、课堂纪律；②原著阅读；③实践作业。三部分的综合成绩折算为总成绩的50％。</w:t>
      </w:r>
    </w:p>
    <w:p w14:paraId="0D0140E9">
      <w:pPr>
        <w:keepNext w:val="0"/>
        <w:keepLines w:val="0"/>
        <w:pageBreakBefore w:val="0"/>
        <w:wordWrap/>
        <w:topLinePunct w:val="0"/>
        <w:bidi w:val="0"/>
        <w:adjustRightInd w:val="0"/>
        <w:snapToGrid w:val="0"/>
        <w:spacing w:line="400" w:lineRule="exact"/>
        <w:ind w:firstLine="422" w:firstLineChars="200"/>
        <w:rPr>
          <w:rFonts w:hint="eastAsia" w:ascii="宋体" w:hAnsi="宋体" w:eastAsia="宋体" w:cs="宋体"/>
          <w:bCs/>
          <w:szCs w:val="21"/>
          <w:lang w:val="en-US" w:eastAsia="zh-CN"/>
        </w:rPr>
      </w:pPr>
      <w:r>
        <w:rPr>
          <w:rFonts w:hint="eastAsia" w:ascii="宋体" w:hAnsi="宋体" w:cs="宋体"/>
          <w:b/>
          <w:bCs w:val="0"/>
          <w:szCs w:val="21"/>
          <w:lang w:val="en-US" w:eastAsia="zh-CN"/>
        </w:rPr>
        <w:t>3</w:t>
      </w:r>
      <w:r>
        <w:rPr>
          <w:rFonts w:hint="eastAsia" w:ascii="宋体" w:hAnsi="宋体" w:eastAsia="宋体" w:cs="宋体"/>
          <w:b/>
          <w:bCs w:val="0"/>
          <w:szCs w:val="21"/>
          <w:lang w:val="en-US" w:eastAsia="zh-CN"/>
        </w:rPr>
        <w:t>.</w:t>
      </w:r>
      <w:r>
        <w:rPr>
          <w:rFonts w:hint="eastAsia"/>
          <w:b/>
          <w:bCs w:val="0"/>
          <w:color w:val="auto"/>
          <w:spacing w:val="-4"/>
        </w:rPr>
        <w:t>习</w:t>
      </w:r>
      <w:r>
        <w:rPr>
          <w:rFonts w:hint="eastAsia"/>
          <w:b/>
          <w:bCs/>
          <w:color w:val="auto"/>
          <w:spacing w:val="-4"/>
        </w:rPr>
        <w:t>近平新时代中国特色社会主义思想概论</w:t>
      </w:r>
    </w:p>
    <w:p w14:paraId="45136543">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课程目标：</w:t>
      </w:r>
    </w:p>
    <w:p w14:paraId="1742156D">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jc w:val="both"/>
        <w:textAlignment w:val="baseline"/>
        <w:rPr>
          <w:rFonts w:hint="eastAsia" w:ascii="宋体" w:hAnsi="宋体" w:eastAsia="宋体" w:cs="宋体"/>
          <w:bCs/>
          <w:kern w:val="2"/>
          <w:sz w:val="21"/>
          <w:szCs w:val="21"/>
          <w:lang w:val="en-US" w:eastAsia="zh-CN" w:bidi="ar-SA"/>
        </w:rPr>
      </w:pPr>
      <w:r>
        <w:rPr>
          <w:rFonts w:hint="default" w:ascii="宋体" w:hAnsi="宋体" w:eastAsia="宋体" w:cs="宋体"/>
          <w:color w:val="000000"/>
          <w:kern w:val="0"/>
          <w:sz w:val="20"/>
          <w:szCs w:val="20"/>
          <w:lang w:val="en-US" w:eastAsia="zh-CN" w:bidi="ar"/>
        </w:rPr>
        <w:t xml:space="preserve"> </w:t>
      </w:r>
      <w:r>
        <w:rPr>
          <w:rFonts w:hint="default" w:ascii="宋体" w:hAnsi="宋体" w:eastAsia="宋体" w:cs="宋体"/>
          <w:bCs/>
          <w:kern w:val="2"/>
          <w:sz w:val="21"/>
          <w:szCs w:val="21"/>
          <w:lang w:val="en-US" w:eastAsia="zh-CN" w:bidi="ar-SA"/>
        </w:rPr>
        <w:t xml:space="preserve">   （1）</w:t>
      </w:r>
      <w:r>
        <w:rPr>
          <w:rFonts w:hint="eastAsia" w:ascii="宋体" w:hAnsi="宋体" w:eastAsia="宋体" w:cs="宋体"/>
          <w:bCs/>
          <w:kern w:val="2"/>
          <w:sz w:val="21"/>
          <w:szCs w:val="21"/>
          <w:lang w:val="en-US" w:eastAsia="zh-CN" w:bidi="ar-SA"/>
        </w:rPr>
        <w:t>知识目标：引导学生系统学习习近平新时代中国特色社会主义思想，全面领会马克思主义中国化时代化新飞跃的科学涵义、形成发展过程、科学体系、历史地位、指导意义、基本观点及新时代中国特色社会主义现代化建设的路线、方针、政策，使大学生在学习过程中能够准确把握马克思主义中国化时代化的最新理论成果，对新时代中国特色社会主义建设过程中党的重大理论和实践创新有更加准确的认识，</w:t>
      </w:r>
      <w:r>
        <w:rPr>
          <w:rFonts w:hint="default" w:ascii="宋体" w:hAnsi="宋体" w:eastAsia="宋体" w:cs="宋体"/>
          <w:bCs/>
          <w:kern w:val="2"/>
          <w:sz w:val="21"/>
          <w:szCs w:val="21"/>
          <w:lang w:val="en-US" w:eastAsia="zh-CN" w:bidi="ar-SA"/>
        </w:rPr>
        <w:t>全面认识和把握新时代我国交通事业建设新成就，更加坚定</w:t>
      </w:r>
      <w:r>
        <w:rPr>
          <w:rFonts w:hint="eastAsia" w:ascii="宋体" w:hAnsi="宋体" w:eastAsia="宋体" w:cs="宋体"/>
          <w:bCs/>
          <w:kern w:val="2"/>
          <w:sz w:val="21"/>
          <w:szCs w:val="21"/>
          <w:lang w:val="en-US" w:eastAsia="zh-CN" w:bidi="ar-SA"/>
        </w:rPr>
        <w:t>对习近平新时代中国特色社会主义思想这一新时代党和国家事业发展的根本遵循和当代中国马克思主义、二十一世纪马克思主义有着更加透彻的理解和更加科学的运用。</w:t>
      </w:r>
    </w:p>
    <w:p w14:paraId="1068ADA3">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right="0" w:rightChars="0"/>
        <w:jc w:val="both"/>
        <w:textAlignment w:val="baseline"/>
        <w:rPr>
          <w:rFonts w:hint="default" w:ascii="宋体" w:hAnsi="宋体" w:eastAsia="宋体" w:cs="宋体"/>
          <w:bCs/>
          <w:kern w:val="2"/>
          <w:sz w:val="21"/>
          <w:szCs w:val="21"/>
          <w:lang w:val="en-US" w:eastAsia="zh-CN" w:bidi="ar-SA"/>
        </w:rPr>
      </w:pPr>
      <w:r>
        <w:rPr>
          <w:rFonts w:hint="default" w:ascii="宋体" w:hAnsi="宋体" w:eastAsia="宋体" w:cs="宋体"/>
          <w:bCs/>
          <w:kern w:val="2"/>
          <w:sz w:val="21"/>
          <w:szCs w:val="21"/>
          <w:lang w:val="en-US" w:eastAsia="zh-CN" w:bidi="ar-SA"/>
        </w:rPr>
        <w:t xml:space="preserve">    （2）</w:t>
      </w:r>
      <w:r>
        <w:rPr>
          <w:rFonts w:hint="eastAsia" w:ascii="宋体" w:hAnsi="宋体" w:eastAsia="宋体" w:cs="宋体"/>
          <w:bCs/>
          <w:kern w:val="2"/>
          <w:sz w:val="21"/>
          <w:szCs w:val="21"/>
          <w:lang w:val="en-US" w:eastAsia="zh-CN" w:bidi="ar-SA"/>
        </w:rPr>
        <w:t>能力目标：通过本课程的学习，能够运用习近平新时代中国特色社会主义思想的基本原理、观点、方法来正确分析和解决社会现实问题，把握目前的社会热点、最新政策动态、国际关系等，帮助学生形成正确的思维方式。掌握习近平新时代中国特色社会主义思想的基本精神、基本内容、基本要求，坚持不懈用习近平新时代中国特色社会主义思想武装头脑、指导</w:t>
      </w:r>
      <w:r>
        <w:rPr>
          <w:rFonts w:hint="default" w:ascii="宋体" w:hAnsi="宋体" w:eastAsia="宋体" w:cs="宋体"/>
          <w:bCs/>
          <w:kern w:val="2"/>
          <w:sz w:val="21"/>
          <w:szCs w:val="21"/>
          <w:lang w:val="en-US" w:eastAsia="zh-CN" w:bidi="ar-SA"/>
        </w:rPr>
        <w:t>社会主义现代化强国尤其是交通强国建设的</w:t>
      </w:r>
      <w:r>
        <w:rPr>
          <w:rFonts w:hint="eastAsia" w:ascii="宋体" w:hAnsi="宋体" w:eastAsia="宋体" w:cs="宋体"/>
          <w:bCs/>
          <w:kern w:val="2"/>
          <w:sz w:val="21"/>
          <w:szCs w:val="21"/>
          <w:lang w:val="en-US" w:eastAsia="zh-CN" w:bidi="ar-SA"/>
        </w:rPr>
        <w:t>实践。</w:t>
      </w:r>
      <w:r>
        <w:rPr>
          <w:rFonts w:hint="default" w:ascii="宋体" w:hAnsi="宋体" w:eastAsia="宋体" w:cs="宋体"/>
          <w:bCs/>
          <w:kern w:val="2"/>
          <w:sz w:val="21"/>
          <w:szCs w:val="21"/>
          <w:lang w:val="en-US" w:eastAsia="zh-CN" w:bidi="ar-SA"/>
        </w:rPr>
        <w:t>同时，能够善于从新思想的视角看待、分析我国交通事业的成就、未来发展等。</w:t>
      </w:r>
    </w:p>
    <w:p w14:paraId="48EE695D">
      <w:pPr>
        <w:pStyle w:val="12"/>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left="0" w:leftChars="0" w:right="0" w:rightChars="0" w:firstLine="0" w:firstLineChars="0"/>
        <w:jc w:val="both"/>
        <w:textAlignment w:val="baseline"/>
        <w:rPr>
          <w:rFonts w:hint="eastAsia" w:ascii="宋体" w:hAnsi="宋体" w:eastAsia="宋体" w:cs="宋体"/>
          <w:bCs/>
          <w:kern w:val="2"/>
          <w:sz w:val="21"/>
          <w:szCs w:val="21"/>
          <w:lang w:val="en-US" w:eastAsia="zh-CN" w:bidi="ar-SA"/>
        </w:rPr>
      </w:pPr>
      <w:r>
        <w:rPr>
          <w:rFonts w:hint="default" w:ascii="宋体" w:hAnsi="宋体" w:eastAsia="宋体" w:cs="宋体"/>
          <w:bCs/>
          <w:kern w:val="2"/>
          <w:sz w:val="21"/>
          <w:szCs w:val="21"/>
          <w:lang w:val="en-US" w:eastAsia="zh-CN" w:bidi="ar-SA"/>
        </w:rPr>
        <w:t xml:space="preserve">    （3）素质目标</w:t>
      </w:r>
      <w:r>
        <w:rPr>
          <w:rFonts w:hint="eastAsia" w:ascii="宋体" w:hAnsi="宋体" w:eastAsia="宋体" w:cs="宋体"/>
          <w:bCs/>
          <w:kern w:val="2"/>
          <w:sz w:val="21"/>
          <w:szCs w:val="21"/>
          <w:lang w:val="en-US" w:eastAsia="zh-CN" w:bidi="ar-SA"/>
        </w:rPr>
        <w:t>：通过对习近平新时代中国特色社会主义思想概论的学习，增强大学生对“十个明确”“十四个坚持”“十三个方面成就”“六个必须坚持”等主要内容的高度认同</w:t>
      </w:r>
      <w:r>
        <w:rPr>
          <w:rFonts w:hint="default" w:ascii="宋体" w:hAnsi="宋体" w:eastAsia="宋体" w:cs="宋体"/>
          <w:bCs/>
          <w:kern w:val="2"/>
          <w:sz w:val="21"/>
          <w:szCs w:val="21"/>
          <w:lang w:val="en-US" w:eastAsia="zh-CN" w:bidi="ar-SA"/>
        </w:rPr>
        <w:t>。</w:t>
      </w:r>
      <w:r>
        <w:rPr>
          <w:rFonts w:hint="eastAsia" w:ascii="宋体" w:hAnsi="宋体" w:eastAsia="宋体" w:cs="宋体"/>
          <w:bCs/>
          <w:kern w:val="2"/>
          <w:sz w:val="21"/>
          <w:szCs w:val="21"/>
          <w:lang w:val="en-US" w:eastAsia="zh-CN" w:bidi="ar-SA"/>
        </w:rPr>
        <w:t>以马克思主义中国化时代化最新理论成果为主线，依据大学生自身成长的特点和规律，教育和引导大学生，提高他们的政治理论素养，</w:t>
      </w:r>
      <w:r>
        <w:rPr>
          <w:rFonts w:hint="default" w:ascii="宋体" w:hAnsi="宋体" w:eastAsia="宋体" w:cs="宋体"/>
          <w:bCs/>
          <w:kern w:val="2"/>
          <w:sz w:val="21"/>
          <w:szCs w:val="21"/>
          <w:lang w:val="en-US" w:eastAsia="zh-CN" w:bidi="ar-SA"/>
        </w:rPr>
        <w:t>通过交通强国建设成效这一微视角，</w:t>
      </w:r>
      <w:r>
        <w:rPr>
          <w:rFonts w:hint="eastAsia" w:ascii="宋体" w:hAnsi="宋体" w:eastAsia="宋体" w:cs="宋体"/>
          <w:bCs/>
          <w:kern w:val="2"/>
          <w:sz w:val="21"/>
          <w:szCs w:val="21"/>
          <w:lang w:val="en-US" w:eastAsia="zh-CN" w:bidi="ar-SA"/>
        </w:rPr>
        <w:t>增强走中国特色社会主义道路的信念，坚定对以中国式现代化全面推进中华民族伟大复兴中国梦的信心。</w:t>
      </w:r>
    </w:p>
    <w:p w14:paraId="7AADA075">
      <w:pPr>
        <w:keepNext w:val="0"/>
        <w:keepLines w:val="0"/>
        <w:pageBreakBefore w:val="0"/>
        <w:numPr>
          <w:ilvl w:val="0"/>
          <w:numId w:val="0"/>
        </w:numPr>
        <w:wordWrap/>
        <w:topLinePunct w:val="0"/>
        <w:bidi w:val="0"/>
        <w:adjustRightInd w:val="0"/>
        <w:snapToGrid w:val="0"/>
        <w:spacing w:line="400" w:lineRule="exact"/>
        <w:ind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2C4A3472">
      <w:pPr>
        <w:pStyle w:val="25"/>
        <w:keepNext w:val="0"/>
        <w:keepLines w:val="0"/>
        <w:pageBreakBefore w:val="0"/>
        <w:widowControl/>
        <w:wordWrap/>
        <w:topLinePunct w:val="0"/>
        <w:bidi w:val="0"/>
        <w:spacing w:before="0" w:after="0" w:line="400" w:lineRule="exact"/>
        <w:ind w:left="0" w:firstLine="460"/>
        <w:jc w:val="both"/>
        <w:rPr>
          <w:rFonts w:hint="eastAsia" w:ascii="宋体" w:hAnsi="宋体" w:eastAsia="宋体" w:cs="宋体"/>
          <w:bCs/>
          <w:color w:val="auto"/>
          <w:kern w:val="2"/>
          <w:sz w:val="21"/>
          <w:szCs w:val="21"/>
          <w:lang w:val="en-US" w:eastAsia="zh-CN" w:bidi="ar-SA"/>
        </w:rPr>
      </w:pPr>
      <w:r>
        <w:rPr>
          <w:rFonts w:hint="default" w:ascii="宋体" w:hAnsi="宋体" w:eastAsia="宋体" w:cs="宋体"/>
          <w:bCs/>
          <w:color w:val="auto"/>
          <w:kern w:val="2"/>
          <w:sz w:val="21"/>
          <w:szCs w:val="21"/>
          <w:lang w:val="en-US" w:eastAsia="zh-CN" w:bidi="ar-SA"/>
        </w:rPr>
        <w:t>（1）</w:t>
      </w:r>
      <w:r>
        <w:rPr>
          <w:rFonts w:hint="eastAsia" w:ascii="宋体" w:hAnsi="宋体" w:eastAsia="宋体" w:cs="宋体"/>
          <w:bCs/>
          <w:color w:val="auto"/>
          <w:kern w:val="2"/>
          <w:sz w:val="21"/>
          <w:szCs w:val="21"/>
          <w:lang w:val="en-US" w:eastAsia="zh-CN" w:bidi="ar-SA"/>
        </w:rPr>
        <w:t>习近平新时代中国特色社会主义思想，从理论和实践的结合上科学回答了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以崭新的思想内容丰富发展了马克思主义，形成了完整的科学体系。习近平新时代中国特色社会主义思想内涵十分丰富，党的十九大、十九届六中全会提出的“十个明确”“十四个坚持”“十三个方面成就”概括了习近平新时代中国特色社会主义思想的主要内容。党的二十大提出的“六个必须坚持”，是习近平新时代中国特色社会主义思想的世界观、方法论和贯穿其中的立场观点方法的重要体现。</w:t>
      </w:r>
    </w:p>
    <w:p w14:paraId="2B6C1A45">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right="0" w:firstLine="420" w:firstLineChars="200"/>
        <w:jc w:val="left"/>
        <w:rPr>
          <w:rFonts w:hint="eastAsia" w:ascii="宋体" w:hAnsi="宋体" w:eastAsia="宋体" w:cs="宋体"/>
          <w:bCs/>
          <w:color w:val="auto"/>
          <w:kern w:val="2"/>
          <w:sz w:val="21"/>
          <w:szCs w:val="21"/>
          <w:lang w:val="en-US" w:eastAsia="zh-CN" w:bidi="ar-SA"/>
        </w:rPr>
      </w:pPr>
      <w:r>
        <w:rPr>
          <w:rFonts w:hint="default" w:ascii="宋体" w:hAnsi="宋体" w:eastAsia="宋体" w:cs="宋体"/>
          <w:bCs/>
          <w:color w:val="auto"/>
          <w:kern w:val="2"/>
          <w:sz w:val="21"/>
          <w:szCs w:val="21"/>
          <w:lang w:val="en-US" w:eastAsia="zh-CN" w:bidi="ar-SA"/>
        </w:rPr>
        <w:t>（2）在具体章节设计方面，本教学课程由导论、结语和17章内容组成。其中，第一章至第五章，分别阐述新时代坚持和发展中国特色社会主义、以中国式现代化全面推进中华民族伟大复兴、坚持党的全面领导、坚持以人民为中心、全面深化改革开放；第六章至第十二章，分别阐述推动高质量发展、社会主义现代化建设的教育科技人才战略、发展全过程人民民主、全面依法治国、建设社会主义文化强国、以保障和改善民生为重点加强社会建设、建设社会主义生态文明；第十三章至第十七章，分别阐述维护和塑造国家安全、建设巩固国防和强大人民军队、坚持“一国两制”和推进祖国完全统一、中国特色大国外交和推动构建人类命运共同体、全面从严治党。</w:t>
      </w:r>
    </w:p>
    <w:p w14:paraId="78F538D7">
      <w:pPr>
        <w:keepNext w:val="0"/>
        <w:keepLines w:val="0"/>
        <w:pageBreakBefore w:val="0"/>
        <w:numPr>
          <w:ilvl w:val="0"/>
          <w:numId w:val="0"/>
        </w:numPr>
        <w:wordWrap/>
        <w:topLinePunct w:val="0"/>
        <w:bidi w:val="0"/>
        <w:adjustRightInd w:val="0"/>
        <w:snapToGrid w:val="0"/>
        <w:spacing w:line="400" w:lineRule="exact"/>
        <w:ind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5FCFC505">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default" w:ascii="宋体" w:hAnsi="宋体" w:eastAsia="宋体" w:cs="宋体"/>
          <w:bCs/>
          <w:szCs w:val="21"/>
          <w:lang w:eastAsia="zh-CN"/>
        </w:rPr>
        <w:t>（1）教师要求：思政课教师肩负着立德树人的重要使命，要严格落实自觉履行习近平总书记对思政课提出的“六要”的要求，即政治要强、情怀要深、思维要新、自律要严、人格要正。</w:t>
      </w:r>
    </w:p>
    <w:p w14:paraId="6FEC1673">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eastAsia" w:ascii="宋体" w:hAnsi="宋体" w:eastAsia="宋体" w:cs="宋体"/>
          <w:bCs/>
          <w:szCs w:val="21"/>
          <w:lang w:val="en-US" w:eastAsia="zh-CN"/>
        </w:rPr>
        <w:t>（2）教学条件：</w:t>
      </w:r>
      <w:r>
        <w:rPr>
          <w:rFonts w:hint="default" w:ascii="宋体" w:hAnsi="宋体" w:eastAsia="宋体" w:cs="宋体"/>
          <w:bCs/>
          <w:szCs w:val="21"/>
          <w:lang w:eastAsia="zh-CN"/>
        </w:rPr>
        <w:t>必须使用马工程统编教材，同时配备教材辅助材料，如《习近平新时代中国特色社会主义思想概论教学要点及参考资料》；配备高清投影、音响系统的多媒体基础教室与智慧教室，拥有黑板或电子黑板满足板书与课件展示需求；校内实践教学基地，如黄河文化馆等。</w:t>
      </w:r>
    </w:p>
    <w:p w14:paraId="3BA5365C">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val="en-US" w:eastAsia="zh-CN"/>
        </w:rPr>
      </w:pPr>
      <w:r>
        <w:rPr>
          <w:rFonts w:hint="default" w:ascii="宋体" w:hAnsi="宋体" w:eastAsia="宋体" w:cs="宋体"/>
          <w:bCs/>
          <w:szCs w:val="21"/>
          <w:lang w:eastAsia="zh-CN"/>
        </w:rPr>
        <w:t>（3）</w:t>
      </w:r>
      <w:r>
        <w:rPr>
          <w:rFonts w:hint="default" w:ascii="宋体" w:hAnsi="宋体" w:eastAsia="宋体" w:cs="宋体"/>
          <w:bCs/>
          <w:szCs w:val="21"/>
          <w:lang w:val="en-US" w:eastAsia="zh-CN"/>
        </w:rPr>
        <w:t>教学方法</w:t>
      </w:r>
      <w:r>
        <w:rPr>
          <w:rFonts w:hint="default" w:ascii="宋体" w:hAnsi="宋体" w:eastAsia="宋体" w:cs="宋体"/>
          <w:bCs/>
          <w:szCs w:val="21"/>
          <w:lang w:eastAsia="zh-CN"/>
        </w:rPr>
        <w:t>：</w:t>
      </w:r>
      <w:r>
        <w:rPr>
          <w:rFonts w:hint="eastAsia" w:ascii="宋体" w:hAnsi="宋体" w:eastAsia="宋体" w:cs="宋体"/>
          <w:bCs/>
          <w:szCs w:val="21"/>
          <w:lang w:val="en-US" w:eastAsia="zh-CN"/>
        </w:rPr>
        <w:t>翻转课堂法</w:t>
      </w:r>
      <w:r>
        <w:rPr>
          <w:rFonts w:hint="default" w:ascii="宋体" w:hAnsi="宋体" w:eastAsia="宋体" w:cs="宋体"/>
          <w:bCs/>
          <w:szCs w:val="21"/>
          <w:lang w:eastAsia="zh-CN"/>
        </w:rPr>
        <w:t>，</w:t>
      </w:r>
      <w:r>
        <w:rPr>
          <w:rFonts w:hint="eastAsia" w:ascii="宋体" w:hAnsi="宋体" w:eastAsia="宋体" w:cs="宋体"/>
          <w:bCs/>
          <w:szCs w:val="21"/>
          <w:lang w:val="en-US" w:eastAsia="zh-CN"/>
        </w:rPr>
        <w:t>通过学习通发布教学资源、精品课视频、课前预习任务、主题讨论、思考题等，培养学生自主学习能力</w:t>
      </w:r>
      <w:r>
        <w:rPr>
          <w:rFonts w:hint="default" w:ascii="宋体" w:hAnsi="宋体" w:eastAsia="宋体" w:cs="宋体"/>
          <w:bCs/>
          <w:szCs w:val="21"/>
          <w:lang w:eastAsia="zh-CN"/>
        </w:rPr>
        <w:t>；</w:t>
      </w:r>
      <w:r>
        <w:rPr>
          <w:rFonts w:hint="eastAsia" w:ascii="宋体" w:hAnsi="宋体" w:eastAsia="宋体" w:cs="宋体"/>
          <w:bCs/>
          <w:szCs w:val="21"/>
          <w:lang w:val="en-US" w:eastAsia="zh-CN"/>
        </w:rPr>
        <w:t>理论讲授法</w:t>
      </w:r>
      <w:r>
        <w:rPr>
          <w:rFonts w:hint="default" w:ascii="宋体" w:hAnsi="宋体" w:eastAsia="宋体" w:cs="宋体"/>
          <w:bCs/>
          <w:szCs w:val="21"/>
          <w:lang w:eastAsia="zh-CN"/>
        </w:rPr>
        <w:t>，</w:t>
      </w:r>
      <w:r>
        <w:rPr>
          <w:rFonts w:hint="eastAsia" w:ascii="宋体" w:hAnsi="宋体" w:eastAsia="宋体" w:cs="宋体"/>
          <w:bCs/>
          <w:szCs w:val="21"/>
          <w:lang w:val="en-US" w:eastAsia="zh-CN"/>
        </w:rPr>
        <w:t>将教材中涉及到的理论知识有重点、有取舍地进行讲授</w:t>
      </w:r>
      <w:r>
        <w:rPr>
          <w:rFonts w:hint="default" w:ascii="宋体" w:hAnsi="宋体" w:eastAsia="宋体" w:cs="宋体"/>
          <w:bCs/>
          <w:szCs w:val="21"/>
          <w:lang w:eastAsia="zh-CN"/>
        </w:rPr>
        <w:t>；</w:t>
      </w:r>
      <w:r>
        <w:rPr>
          <w:rFonts w:hint="eastAsia" w:ascii="宋体" w:hAnsi="宋体" w:eastAsia="宋体" w:cs="宋体"/>
          <w:bCs/>
          <w:szCs w:val="21"/>
          <w:lang w:val="en-US" w:eastAsia="zh-CN"/>
        </w:rPr>
        <w:t>案例讲授法</w:t>
      </w:r>
      <w:r>
        <w:rPr>
          <w:rFonts w:hint="default" w:ascii="宋体" w:hAnsi="宋体" w:eastAsia="宋体" w:cs="宋体"/>
          <w:bCs/>
          <w:szCs w:val="21"/>
          <w:lang w:eastAsia="zh-CN"/>
        </w:rPr>
        <w:t>，</w:t>
      </w:r>
      <w:r>
        <w:rPr>
          <w:rFonts w:hint="eastAsia" w:ascii="宋体" w:hAnsi="宋体" w:eastAsia="宋体" w:cs="宋体"/>
          <w:bCs/>
          <w:szCs w:val="21"/>
          <w:lang w:val="en-US" w:eastAsia="zh-CN"/>
        </w:rPr>
        <w:t>把重要讲话、典型案例等融入理论讲授过程中</w:t>
      </w:r>
      <w:r>
        <w:rPr>
          <w:rFonts w:hint="default" w:ascii="宋体" w:hAnsi="宋体" w:eastAsia="宋体" w:cs="宋体"/>
          <w:bCs/>
          <w:szCs w:val="21"/>
          <w:lang w:eastAsia="zh-CN"/>
        </w:rPr>
        <w:t>；</w:t>
      </w:r>
      <w:r>
        <w:rPr>
          <w:rFonts w:hint="eastAsia" w:ascii="宋体" w:hAnsi="宋体" w:eastAsia="宋体" w:cs="宋体"/>
          <w:bCs/>
          <w:szCs w:val="21"/>
          <w:lang w:val="en-US" w:eastAsia="zh-CN"/>
        </w:rPr>
        <w:t>探究式教学法</w:t>
      </w:r>
      <w:r>
        <w:rPr>
          <w:rFonts w:hint="default" w:ascii="宋体" w:hAnsi="宋体" w:eastAsia="宋体" w:cs="宋体"/>
          <w:bCs/>
          <w:szCs w:val="21"/>
          <w:lang w:eastAsia="zh-CN"/>
        </w:rPr>
        <w:t>，</w:t>
      </w:r>
      <w:r>
        <w:rPr>
          <w:rFonts w:hint="eastAsia" w:ascii="宋体" w:hAnsi="宋体" w:eastAsia="宋体" w:cs="宋体"/>
          <w:bCs/>
          <w:szCs w:val="21"/>
          <w:lang w:val="en-US" w:eastAsia="zh-CN"/>
        </w:rPr>
        <w:t>通过提问、讨论让学生发现怎样将理论与自身学习、生活、工作结合起来</w:t>
      </w:r>
      <w:r>
        <w:rPr>
          <w:rFonts w:hint="default" w:ascii="宋体" w:hAnsi="宋体" w:eastAsia="宋体" w:cs="宋体"/>
          <w:bCs/>
          <w:szCs w:val="21"/>
          <w:lang w:eastAsia="zh-CN"/>
        </w:rPr>
        <w:t>；</w:t>
      </w:r>
      <w:r>
        <w:rPr>
          <w:rFonts w:hint="default" w:ascii="宋体" w:hAnsi="宋体" w:eastAsia="宋体" w:cs="宋体"/>
          <w:bCs/>
          <w:szCs w:val="21"/>
          <w:lang w:val="en-US" w:eastAsia="zh-CN"/>
        </w:rPr>
        <w:t>任务驱动法</w:t>
      </w:r>
      <w:r>
        <w:rPr>
          <w:rFonts w:hint="default" w:ascii="宋体" w:hAnsi="宋体" w:eastAsia="宋体" w:cs="宋体"/>
          <w:bCs/>
          <w:szCs w:val="21"/>
          <w:lang w:eastAsia="zh-CN"/>
        </w:rPr>
        <w:t>，</w:t>
      </w:r>
      <w:r>
        <w:rPr>
          <w:rFonts w:hint="default" w:ascii="宋体" w:hAnsi="宋体" w:eastAsia="宋体" w:cs="宋体"/>
          <w:bCs/>
          <w:szCs w:val="21"/>
          <w:lang w:val="en-US" w:eastAsia="zh-CN"/>
        </w:rPr>
        <w:t>通过课后布置任务让学生对本次课程进行深入思考。</w:t>
      </w:r>
    </w:p>
    <w:p w14:paraId="616B7FCC">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val="en-US" w:eastAsia="zh-CN"/>
        </w:rPr>
      </w:pPr>
      <w:r>
        <w:rPr>
          <w:rFonts w:hint="default" w:ascii="宋体" w:hAnsi="宋体" w:eastAsia="宋体" w:cs="宋体"/>
          <w:bCs/>
          <w:szCs w:val="21"/>
          <w:lang w:eastAsia="zh-CN"/>
        </w:rPr>
        <w:t>（4）教学</w:t>
      </w:r>
      <w:r>
        <w:rPr>
          <w:rFonts w:hint="default" w:ascii="宋体" w:hAnsi="宋体" w:eastAsia="宋体" w:cs="宋体"/>
          <w:bCs/>
          <w:szCs w:val="21"/>
          <w:lang w:val="en-US" w:eastAsia="zh-CN"/>
        </w:rPr>
        <w:t>考核</w:t>
      </w:r>
      <w:r>
        <w:rPr>
          <w:rFonts w:hint="eastAsia" w:ascii="宋体" w:hAnsi="宋体" w:eastAsia="宋体" w:cs="宋体"/>
          <w:bCs/>
          <w:szCs w:val="21"/>
          <w:lang w:val="en-US" w:eastAsia="zh-CN"/>
        </w:rPr>
        <w:t>：本课程为考试课程，分为理论教学和实践教学两个环节，学期结束安排考试。以百分制计分，其中平时成绩占50%，期末成绩占50%。</w:t>
      </w:r>
    </w:p>
    <w:p w14:paraId="19A0CD4B">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平时成绩的评定依据学生学习本课程的一学期综合表现，主要由以下三部分组成：①出勤情况、课堂纪律；②原著阅读；③实践作业。三部分的综合成绩折算为总成绩的50％。</w:t>
      </w:r>
    </w:p>
    <w:p w14:paraId="6FCA1A41">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eastAsia="zh-CN"/>
        </w:rPr>
      </w:pPr>
      <w:r>
        <w:rPr>
          <w:rFonts w:hint="eastAsia" w:ascii="宋体" w:hAnsi="宋体" w:eastAsia="宋体" w:cs="宋体"/>
          <w:bCs/>
          <w:szCs w:val="21"/>
          <w:lang w:val="en-US" w:eastAsia="zh-CN"/>
        </w:rPr>
        <w:t>期末考试由学院统一组织进行，期末考试成绩折算为总成绩的50％。</w:t>
      </w:r>
    </w:p>
    <w:p w14:paraId="7A992194">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Calibri" w:hAnsi="Calibri" w:eastAsia="宋体" w:cs="Times New Roman"/>
          <w:kern w:val="2"/>
          <w:sz w:val="21"/>
          <w:szCs w:val="21"/>
        </w:rPr>
      </w:pPr>
      <w:r>
        <w:rPr>
          <w:rFonts w:hint="default" w:ascii="宋体" w:hAnsi="宋体" w:eastAsia="宋体" w:cs="宋体"/>
          <w:b/>
          <w:bCs w:val="0"/>
          <w:szCs w:val="21"/>
          <w:lang w:eastAsia="zh-CN"/>
        </w:rPr>
        <w:t>4.</w:t>
      </w:r>
      <w:r>
        <w:rPr>
          <w:rFonts w:hint="eastAsia" w:ascii="宋体" w:hAnsi="宋体" w:eastAsia="宋体" w:cs="宋体"/>
          <w:b/>
          <w:bCs w:val="0"/>
          <w:kern w:val="2"/>
          <w:sz w:val="21"/>
          <w:szCs w:val="21"/>
          <w:lang w:val="en-US" w:eastAsia="zh-CN" w:bidi="ar"/>
        </w:rPr>
        <w:t>形势与政策</w:t>
      </w:r>
    </w:p>
    <w:p w14:paraId="304E60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wordWrap/>
        <w:topLinePunct w:val="0"/>
        <w:bidi w:val="0"/>
        <w:spacing w:before="0" w:beforeAutospacing="0" w:after="0" w:afterAutospacing="0" w:line="400" w:lineRule="exact"/>
        <w:ind w:right="0" w:firstLine="422" w:firstLineChars="200"/>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70D37640">
      <w:pPr>
        <w:pStyle w:val="24"/>
        <w:keepNext w:val="0"/>
        <w:keepLines w:val="0"/>
        <w:pageBreakBefore w:val="0"/>
        <w:widowControl w:val="0"/>
        <w:suppressLineNumbers w:val="0"/>
        <w:wordWrap/>
        <w:topLinePunct w:val="0"/>
        <w:autoSpaceDE w:val="0"/>
        <w:autoSpaceDN/>
        <w:bidi w:val="0"/>
        <w:spacing w:line="400" w:lineRule="exact"/>
        <w:ind w:left="113" w:right="102"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知识目标：通过本课程学习，学生将系统了解国内改革开放进程以及社会发展动态，尤其关注交通领域在改革发展中的先锋作用与显著成就；深入掌握党和国家重大方针政策、重大活动和重大改革措施；清晰把握当前国际形势与国际关系状况、发展趋势，以及我国在交通外交、国际交通合作等方面的对外政策与原则立场，构建起全面而深入的形势认知框架。</w:t>
      </w:r>
    </w:p>
    <w:p w14:paraId="69C040AE">
      <w:pPr>
        <w:pStyle w:val="24"/>
        <w:keepNext w:val="0"/>
        <w:keepLines w:val="0"/>
        <w:pageBreakBefore w:val="0"/>
        <w:widowControl w:val="0"/>
        <w:suppressLineNumbers w:val="0"/>
        <w:wordWrap/>
        <w:topLinePunct w:val="0"/>
        <w:autoSpaceDE w:val="0"/>
        <w:autoSpaceDN/>
        <w:bidi w:val="0"/>
        <w:spacing w:line="400" w:lineRule="exact"/>
        <w:ind w:left="113" w:right="102"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2）能力目标：一方面，着力提升学生观察社会形势问题敏锐的洞察力，尤其在交通领域，能够迅速捕捉行业动态、政策变化及其背后的深层次原因；另一方面，强化学生处理、应对复杂社会问题的能力，使学生能够在面对交通领域的突发状况、行业变革等复杂情境时，冷静分析、妥善应对。</w:t>
      </w:r>
    </w:p>
    <w:p w14:paraId="6ECF3C2A">
      <w:pPr>
        <w:pStyle w:val="24"/>
        <w:keepNext w:val="0"/>
        <w:keepLines w:val="0"/>
        <w:pageBreakBefore w:val="0"/>
        <w:widowControl w:val="0"/>
        <w:suppressLineNumbers w:val="0"/>
        <w:kinsoku/>
        <w:wordWrap/>
        <w:overflowPunct/>
        <w:topLinePunct w:val="0"/>
        <w:autoSpaceDE w:val="0"/>
        <w:autoSpaceDN/>
        <w:bidi w:val="0"/>
        <w:adjustRightInd/>
        <w:snapToGrid/>
        <w:spacing w:line="400" w:lineRule="exact"/>
        <w:ind w:left="113" w:right="102" w:firstLine="420" w:firstLineChars="200"/>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3）素质目标：通过对国内、国际形势的深入分析，以及对党和国家大政方针的详细解读，本课程致力于帮助学生正确认识和把握当前的国内形势与国际环境，引导学生深刻理解交通事业对于国家发展、民族复兴的重要意义，增强贯彻、执行党和国家各项路线、方针、政策的自觉性。同时，激发学生的交通情怀，让学生明确自己作为新时代青年在交通强国建设中所肩负的历史使命与社会责任，激励学生将个人成长与国家交通事业发展紧密相连，为实现交通强国目标贡献青春力量。</w:t>
      </w:r>
    </w:p>
    <w:p w14:paraId="4B124C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wordWrap/>
        <w:topLinePunct w:val="0"/>
        <w:bidi w:val="0"/>
        <w:spacing w:before="0" w:beforeAutospacing="0" w:after="0" w:afterAutospacing="0" w:line="400" w:lineRule="exact"/>
        <w:ind w:left="0" w:right="0" w:firstLine="422" w:firstLineChars="200"/>
        <w:jc w:val="left"/>
        <w:rPr>
          <w:rFonts w:hint="eastAsia" w:ascii="宋体" w:hAnsi="宋体" w:eastAsia="宋体" w:cs="宋体"/>
          <w:b/>
          <w:bCs w:val="0"/>
          <w:kern w:val="2"/>
          <w:sz w:val="21"/>
          <w:szCs w:val="21"/>
          <w:shd w:val="clear" w:color="auto" w:fill="FDFDFE"/>
        </w:rPr>
      </w:pPr>
      <w:r>
        <w:rPr>
          <w:rFonts w:hint="eastAsia" w:ascii="宋体" w:hAnsi="宋体" w:eastAsia="宋体" w:cs="宋体"/>
          <w:b/>
          <w:bCs w:val="0"/>
          <w:kern w:val="2"/>
          <w:sz w:val="21"/>
          <w:szCs w:val="21"/>
          <w:shd w:val="clear" w:color="auto" w:fill="FDFDFE"/>
        </w:rPr>
        <w:t>主要内容：</w:t>
      </w:r>
    </w:p>
    <w:p w14:paraId="651A23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形势与政策课程分专题来讲授，要求担任本课程的教师根据教育部每学期印发的“高校形势与政策教育教学要点”，结合上级有关部门提供的教学辅导资料，进行集体备课，统一安排教学内容。</w:t>
      </w:r>
    </w:p>
    <w:p w14:paraId="4BF7A07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wordWrap/>
        <w:topLinePunct w:val="0"/>
        <w:bidi w:val="0"/>
        <w:spacing w:before="0" w:beforeAutospacing="0" w:after="0" w:afterAutospacing="0" w:line="400" w:lineRule="exact"/>
        <w:ind w:left="0" w:right="0" w:firstLine="422" w:firstLineChars="200"/>
        <w:jc w:val="left"/>
        <w:rPr>
          <w:rFonts w:hint="eastAsia" w:ascii="宋体" w:hAnsi="宋体" w:eastAsia="宋体" w:cs="宋体"/>
          <w:b/>
          <w:bCs w:val="0"/>
          <w:kern w:val="2"/>
          <w:sz w:val="21"/>
          <w:szCs w:val="21"/>
          <w:shd w:val="clear" w:color="auto" w:fill="FDFDFE"/>
        </w:rPr>
      </w:pPr>
      <w:r>
        <w:rPr>
          <w:rFonts w:hint="eastAsia" w:ascii="宋体" w:hAnsi="宋体" w:eastAsia="宋体" w:cs="宋体"/>
          <w:b/>
          <w:bCs w:val="0"/>
          <w:kern w:val="2"/>
          <w:sz w:val="21"/>
          <w:szCs w:val="21"/>
          <w:shd w:val="clear" w:color="auto" w:fill="FDFDFE"/>
        </w:rPr>
        <w:t>教学要求：</w:t>
      </w:r>
    </w:p>
    <w:p w14:paraId="125F8F57">
      <w:pPr>
        <w:pStyle w:val="24"/>
        <w:keepNext w:val="0"/>
        <w:keepLines w:val="0"/>
        <w:pageBreakBefore w:val="0"/>
        <w:widowControl w:val="0"/>
        <w:suppressLineNumbers w:val="0"/>
        <w:wordWrap/>
        <w:topLinePunct w:val="0"/>
        <w:autoSpaceDE w:val="0"/>
        <w:autoSpaceDN/>
        <w:bidi w:val="0"/>
        <w:spacing w:line="400" w:lineRule="exact"/>
        <w:ind w:left="113" w:right="102"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教师要求：具备扎实的马克思主义理论基础，熟练掌握党的路线、方针、政策，以及国内外重大时事动态。精通形势与政策课程的核心内容，熟悉高等教育教学规律，能够将时政热点与学科前沿结合，设计出符合学生认知特点的教学内容。同时具备课程设计能力、互动教学能力、信息化教学能力与课程思政能力。</w:t>
      </w:r>
    </w:p>
    <w:p w14:paraId="07906797">
      <w:pPr>
        <w:pStyle w:val="24"/>
        <w:keepNext w:val="0"/>
        <w:keepLines w:val="0"/>
        <w:pageBreakBefore w:val="0"/>
        <w:widowControl w:val="0"/>
        <w:suppressLineNumbers w:val="0"/>
        <w:wordWrap/>
        <w:topLinePunct w:val="0"/>
        <w:autoSpaceDE w:val="0"/>
        <w:autoSpaceDN/>
        <w:bidi w:val="0"/>
        <w:spacing w:line="400" w:lineRule="exact"/>
        <w:ind w:left="113" w:right="102"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2）教学条件：配备多媒体教室、智慧教室、互动显示屏，支持高清视频播放、实时投票、弹幕互动等功能，拥有黑板或电子黑板满足板书与课件展示需求，利用MOOC、钉钉、学习通等平台辅助教学，并有杨靖宇革命纪念馆、竹沟革命纪念馆、西滑封精神实践教学基地、寨卜昌实践教学基地、嘉应观实践教学基地、黄河文化馆等校内外实践教学基地。</w:t>
      </w:r>
    </w:p>
    <w:p w14:paraId="487B480E">
      <w:pPr>
        <w:pStyle w:val="24"/>
        <w:keepNext w:val="0"/>
        <w:keepLines w:val="0"/>
        <w:pageBreakBefore w:val="0"/>
        <w:widowControl w:val="0"/>
        <w:suppressLineNumbers w:val="0"/>
        <w:wordWrap/>
        <w:topLinePunct w:val="0"/>
        <w:autoSpaceDE w:val="0"/>
        <w:autoSpaceDN/>
        <w:bidi w:val="0"/>
        <w:spacing w:line="400" w:lineRule="exact"/>
        <w:ind w:left="113" w:right="102"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（3）教学方法：理论教学法、翻转课堂法、分组讨论法、直观演示法、案例教学法和任务驱动法。</w:t>
      </w:r>
    </w:p>
    <w:p w14:paraId="16DC81C9">
      <w:pPr>
        <w:pStyle w:val="24"/>
        <w:keepNext w:val="0"/>
        <w:keepLines w:val="0"/>
        <w:pageBreakBefore w:val="0"/>
        <w:widowControl w:val="0"/>
        <w:suppressLineNumbers w:val="0"/>
        <w:wordWrap/>
        <w:topLinePunct w:val="0"/>
        <w:autoSpaceDE w:val="0"/>
        <w:autoSpaceDN/>
        <w:bidi w:val="0"/>
        <w:spacing w:line="400" w:lineRule="exact"/>
        <w:ind w:left="113" w:right="102"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（4）考核评价：形势与政策课程为考查课，以百分制计分，其中平时成绩占</w:t>
      </w:r>
      <w:r>
        <w:rPr>
          <w:rFonts w:hint="default" w:ascii="宋体" w:hAnsi="宋体" w:eastAsia="宋体" w:cs="宋体"/>
          <w:bCs/>
          <w:kern w:val="2"/>
          <w:sz w:val="21"/>
          <w:szCs w:val="21"/>
          <w:lang w:val="en-US" w:eastAsia="zh-CN" w:bidi="ar-SA"/>
        </w:rPr>
        <w:t>50%</w:t>
      </w:r>
      <w:r>
        <w:rPr>
          <w:rFonts w:hint="eastAsia" w:ascii="宋体" w:hAnsi="宋体" w:eastAsia="宋体" w:cs="宋体"/>
          <w:bCs/>
          <w:kern w:val="2"/>
          <w:sz w:val="21"/>
          <w:szCs w:val="21"/>
          <w:lang w:val="en-US" w:eastAsia="zh-CN" w:bidi="ar-SA"/>
        </w:rPr>
        <w:t>，期末成绩占</w:t>
      </w:r>
      <w:r>
        <w:rPr>
          <w:rFonts w:hint="default" w:ascii="宋体" w:hAnsi="宋体" w:eastAsia="宋体" w:cs="宋体"/>
          <w:bCs/>
          <w:kern w:val="2"/>
          <w:sz w:val="21"/>
          <w:szCs w:val="21"/>
          <w:lang w:val="en-US" w:eastAsia="zh-CN" w:bidi="ar-SA"/>
        </w:rPr>
        <w:t>50%</w:t>
      </w:r>
      <w:r>
        <w:rPr>
          <w:rFonts w:hint="eastAsia" w:ascii="宋体" w:hAnsi="宋体" w:eastAsia="宋体" w:cs="宋体"/>
          <w:bCs/>
          <w:kern w:val="2"/>
          <w:sz w:val="21"/>
          <w:szCs w:val="21"/>
          <w:lang w:val="en-US" w:eastAsia="zh-CN" w:bidi="ar-SA"/>
        </w:rPr>
        <w:t>。平时成绩的评定以百分制计分，依据学生学习本课程的综合表现，主要由以下三部分组成：①考勤和课堂表现；②原著阅读；③心得体会。考勤和课堂表现占平时成绩的20%，原著阅读和心得体会分别占平时成绩的40%，三部分的综合成绩折算为总成绩的50%。期末成绩评定由学院统一安排，以百分制计分，各任课教师具体组织实施，期末卷面成绩折算为总成绩的50％。</w:t>
      </w:r>
    </w:p>
    <w:p w14:paraId="20CBAF7C">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宋体" w:hAnsi="宋体" w:eastAsia="宋体" w:cs="宋体"/>
          <w:b/>
          <w:bCs w:val="0"/>
          <w:szCs w:val="21"/>
          <w:lang w:val="en-US" w:eastAsia="zh-CN"/>
        </w:rPr>
      </w:pPr>
      <w:r>
        <w:rPr>
          <w:rFonts w:hint="eastAsia" w:ascii="宋体" w:hAnsi="宋体" w:eastAsia="宋体" w:cs="宋体"/>
          <w:b/>
          <w:bCs w:val="0"/>
          <w:szCs w:val="21"/>
          <w:lang w:val="en-US" w:eastAsia="zh-CN"/>
        </w:rPr>
        <w:t>5.军事理论</w:t>
      </w:r>
    </w:p>
    <w:p w14:paraId="45CC6F7C">
      <w:pPr>
        <w:pStyle w:val="12"/>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46A06C2F">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right="0" w:firstLine="420" w:firstLineChars="200"/>
        <w:jc w:val="both"/>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知识目标：本课程旨在系统介绍军事理论的基本概念、发展历程及其在现代战争中的应用，特别融入交通运输领域的特色，帮助学生理解现代交通保障在军事行动中的关键作用。通过学习交通运输与军事战略的结合，提升学生对军事实践中交通重要性的认知。</w:t>
      </w:r>
    </w:p>
    <w:p w14:paraId="4637ED23">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2）能力目标：培养学生分析和解决军事交通保障问题的能力，增强组织协调和应急处理能力，能够将军事理论知识与交通运输实际相结合，提出切实可行的方案，具备现代军事行动中交通保障的综合运用能力。</w:t>
      </w:r>
    </w:p>
    <w:p w14:paraId="4921ECBE">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（3）素质目标：加强学生的爱国主义精神和服务国防建设的责任感，体现思政教育目标，树立正确的国防观和使命感，培养严谨的军事纪律意识和团队合作精神，促进学生全面发展。</w:t>
      </w:r>
    </w:p>
    <w:p w14:paraId="354455D4">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6246D7CE">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lang w:val="en-US" w:eastAsia="zh-CN"/>
        </w:rPr>
        <w:t>（1）中国国防：系统讲解国防建设的基本目标与战略方针，强调捍卫国家主权、领土完整及安全发展的重要性。（2）国家安全：通过分析中国复杂的地缘环境与国际战略形势，阐释国家安全与民族复兴的紧密关联。（3）军事思想：深入探讨中国军事思想的演进，从《孙子兵法》等传统兵学智慧到现代信息化战争理论，揭示军事思想对战略决策的深远影响。（4）现代战争：结合现代战争形态的演变，重点解析信息化战争的特征与趋势，剖析精确制导武器、人工智能、网络攻防等关键技术装备的应用。（5）信息化装备：聚焦信息化装备的发展现状，介绍C4ISR系统、智能化作战平台等前沿技术，探讨其如何赋能军队实现“能打仗、打胜仗”的目标，培养国防意识和科技强军理念。</w:t>
      </w:r>
    </w:p>
    <w:p w14:paraId="61968FAE">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2037602B">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lang w:val="en-US" w:eastAsia="zh-CN"/>
        </w:rPr>
        <w:t>（1）教师要求：教师应具备扎实的军事理论基础与交通专业知识，具备军事教学与实践经验，能够结合实际案例进行教学，注重思政教育的贯穿，具有较强的组织与表达能力。</w:t>
      </w:r>
    </w:p>
    <w:p w14:paraId="4E5F2440">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lang w:val="en-US" w:eastAsia="zh-CN"/>
        </w:rPr>
        <w:t>（2）教学条件：多配备现代化多媒体教学设备，具备丰富的军事案例资料与典型视频资源，保障教学环节的开展，如模拟指挥训练平台。</w:t>
      </w:r>
    </w:p>
    <w:p w14:paraId="5657A383">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3）教学方法：采用理论教学与案例分析相结合的方法，强调互动式教学和问题导向学习，组织专题讨论和模拟演练，促进学生主动思考与实践能力的提升。结合线上线下混合教学模式，提高教学灵活性和效果。</w:t>
      </w:r>
    </w:p>
    <w:p w14:paraId="3F1B1676">
      <w:pPr>
        <w:keepNext w:val="0"/>
        <w:keepLines w:val="0"/>
        <w:pageBreakBefore w:val="0"/>
        <w:wordWrap/>
        <w:topLinePunct w:val="0"/>
        <w:bidi w:val="0"/>
        <w:adjustRightInd w:val="0"/>
        <w:snapToGrid w:val="0"/>
        <w:spacing w:line="400" w:lineRule="exact"/>
        <w:ind w:firstLine="420" w:firstLineChars="200"/>
        <w:rPr>
          <w:rFonts w:hint="default" w:ascii="宋体" w:hAnsi="宋体" w:eastAsia="宋体" w:cs="宋体"/>
          <w:bCs/>
          <w:szCs w:val="21"/>
          <w:lang w:val="en-US" w:eastAsia="zh-CN"/>
        </w:rPr>
      </w:pPr>
      <w:r>
        <w:rPr>
          <w:rFonts w:hint="eastAsia" w:ascii="宋体" w:hAnsi="宋体" w:eastAsia="宋体" w:cs="宋体"/>
          <w:bCs/>
          <w:szCs w:val="21"/>
          <w:lang w:val="en-US" w:eastAsia="zh-CN"/>
        </w:rPr>
        <w:t>（4）考核评价：过程考核占40%+综合考核占60%。</w:t>
      </w:r>
    </w:p>
    <w:p w14:paraId="1FAD4B4B">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val="0"/>
          <w:bCs/>
          <w:kern w:val="2"/>
          <w:sz w:val="21"/>
          <w:szCs w:val="21"/>
        </w:rPr>
      </w:pPr>
      <w:r>
        <w:rPr>
          <w:rFonts w:hint="eastAsia" w:ascii="宋体" w:hAnsi="宋体" w:eastAsia="宋体" w:cs="宋体"/>
          <w:b/>
          <w:bCs w:val="0"/>
          <w:kern w:val="2"/>
          <w:sz w:val="21"/>
          <w:szCs w:val="21"/>
          <w:lang w:val="en-US" w:eastAsia="zh-CN" w:bidi="ar"/>
        </w:rPr>
        <w:t>6.军事技能</w:t>
      </w:r>
    </w:p>
    <w:p w14:paraId="0E0C0E3F">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lang w:val="en-US" w:eastAsia="zh-CN"/>
        </w:rPr>
        <w:t>根据《关于进一步提高学生军事技能训练教育管理的通知》(军动〔2024〕33号)文件要求，军事技能训练重点围绕“规范施训、提升质量”核心目标展开。训练内容涵盖共同条令教育与训练、射击与战术训练、防卫技能与战时防护训练、战备基础与应用训练等核心科目，强化队列养成、分队战术协同及野外生存适应能力。训练过程须严格落实教学规范与安全制度，科学组训、按纲施考，确保通过系统化、实战化的训练，切实增强学生的国防观念、组织纪律性和基本军事素养，全面提升训练实效。</w:t>
      </w:r>
    </w:p>
    <w:p w14:paraId="7FFC29A8">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6E2933A2">
      <w:pPr>
        <w:keepNext w:val="0"/>
        <w:keepLines w:val="0"/>
        <w:pageBreakBefore w:val="0"/>
        <w:widowControl w:val="0"/>
        <w:numPr>
          <w:ilvl w:val="0"/>
          <w:numId w:val="1"/>
        </w:numPr>
        <w:suppressLineNumbers w:val="0"/>
        <w:wordWrap/>
        <w:topLinePunct w:val="0"/>
        <w:bidi w:val="0"/>
        <w:adjustRightInd w:val="0"/>
        <w:snapToGrid w:val="0"/>
        <w:spacing w:beforeAutospacing="0" w:afterAutospacing="0" w:line="400" w:lineRule="exact"/>
        <w:ind w:left="-2" w:leftChars="0" w:right="0" w:firstLine="422" w:firstLineChars="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知识目标：掌握《三大条令》中的条令条例、纪律规范和行为准则；理解掌握射击原理、战术布局及分队协同作战知识；熟悉防护技巧及战时自救互救方法；了解战备状态、物资管理及实战应用理论，确保学生系统构建军事知识体系，为国防观念和组织纪律性的提升奠定基础。</w:t>
      </w:r>
    </w:p>
    <w:p w14:paraId="158119AC">
      <w:pPr>
        <w:keepNext w:val="0"/>
        <w:keepLines w:val="0"/>
        <w:pageBreakBefore w:val="0"/>
        <w:widowControl w:val="0"/>
        <w:numPr>
          <w:ilvl w:val="0"/>
          <w:numId w:val="1"/>
        </w:numPr>
        <w:suppressLineNumbers w:val="0"/>
        <w:wordWrap/>
        <w:topLinePunct w:val="0"/>
        <w:bidi w:val="0"/>
        <w:adjustRightInd w:val="0"/>
        <w:snapToGrid w:val="0"/>
        <w:spacing w:beforeAutospacing="0" w:afterAutospacing="0" w:line="400" w:lineRule="exact"/>
        <w:ind w:left="-2" w:leftChars="0" w:right="0" w:firstLine="422" w:firstLineChars="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能力目标：能够规范执行队列动作，提升组织纪律性；具备基本射击技能和分队战术协同能力；掌握防卫技巧、战时防护；熟悉战备物资管理、野外生存应用及实战应变能力，确保全面提升实战操作、协同配合及环境适应能力。</w:t>
      </w:r>
    </w:p>
    <w:p w14:paraId="5A7C4FEE">
      <w:pPr>
        <w:keepNext w:val="0"/>
        <w:keepLines w:val="0"/>
        <w:pageBreakBefore w:val="0"/>
        <w:widowControl w:val="0"/>
        <w:numPr>
          <w:ilvl w:val="0"/>
          <w:numId w:val="1"/>
        </w:numPr>
        <w:suppressLineNumbers w:val="0"/>
        <w:wordWrap/>
        <w:topLinePunct w:val="0"/>
        <w:bidi w:val="0"/>
        <w:adjustRightInd w:val="0"/>
        <w:snapToGrid w:val="0"/>
        <w:spacing w:beforeAutospacing="0" w:afterAutospacing="0" w:line="400" w:lineRule="exact"/>
        <w:ind w:left="-2" w:leftChars="0" w:right="0" w:firstLine="422" w:firstLineChars="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素质目标：培养深厚的爱国主义情感和国家安全意识；树立坚定的组织纪律观念和服从命令品质；增强团队协作精神和集体荣誉感；提升心理抗压能力、应变韧性和意志品质；养成吃苦耐劳、勇于担当、无私奉献的优良作风，确保学生在思想品德、心理素质、价值观念等方面全面升华，为国防建设提供坚实的人才支撑。</w:t>
      </w:r>
    </w:p>
    <w:p w14:paraId="104407B2">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144768F4">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学校军事技能训练时间不少于3周，计2学分。训练时间安排在新生入学后前3周，由学校武装部统筹组织。</w:t>
      </w:r>
    </w:p>
    <w:p w14:paraId="1E9D9E6F">
      <w:pPr>
        <w:keepNext w:val="0"/>
        <w:keepLines w:val="0"/>
        <w:pageBreakBefore w:val="0"/>
        <w:widowControl w:val="0"/>
        <w:numPr>
          <w:ilvl w:val="0"/>
          <w:numId w:val="2"/>
        </w:numPr>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军事技能理论知识学习：习近平强军思想，三大条令的学习，轻武器性能、构造与保养，简易射击原理，战场医疗救护基本知识，战备规定的内容与要求，地形图基本知识。</w:t>
      </w:r>
    </w:p>
    <w:p w14:paraId="5710A463">
      <w:pPr>
        <w:keepNext w:val="0"/>
        <w:keepLines w:val="0"/>
        <w:pageBreakBefore w:val="0"/>
        <w:widowControl w:val="0"/>
        <w:numPr>
          <w:ilvl w:val="0"/>
          <w:numId w:val="2"/>
        </w:numPr>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个人军事技能学习与掌握：队列动作，轻武器射击，军事格斗技能，战术运动，战场救护实操，战场防护实操，地图使用方法。</w:t>
      </w:r>
    </w:p>
    <w:p w14:paraId="0C551EEE">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r>
        <w:rPr>
          <w:rFonts w:hint="eastAsia" w:ascii="宋体" w:hAnsi="宋体" w:cs="宋体"/>
          <w:b/>
          <w:bCs w:val="0"/>
          <w:kern w:val="2"/>
          <w:sz w:val="21"/>
          <w:szCs w:val="21"/>
          <w:lang w:val="en-US" w:eastAsia="zh-CN" w:bidi="ar"/>
        </w:rPr>
        <w:t>：</w:t>
      </w:r>
    </w:p>
    <w:p w14:paraId="7762D241">
      <w:pPr>
        <w:keepNext w:val="0"/>
        <w:keepLines w:val="0"/>
        <w:pageBreakBefore w:val="0"/>
        <w:widowControl w:val="0"/>
        <w:numPr>
          <w:ilvl w:val="0"/>
          <w:numId w:val="3"/>
        </w:numPr>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教师要求：具备相关军事训练资质和实弹经验；熟练掌握《内务条令》《纪律条令》《队列条令》等条令内容，并能清晰讲解和示范；注重安全教育，确保训练过程符合操作规程，预防意外伤害；采用理论结合实践的教学方法，如现场演示、分组练习和互动问答；定期参加专业培训，更新知识技能；具备良好的组织能力，有效管理课堂纪律和训练进度；关注学生个体差异，提供针对性指导；在现地教学、实弹射击等高风险环节，严格执行安全预案，全程监督。</w:t>
      </w:r>
    </w:p>
    <w:p w14:paraId="7B4939F6">
      <w:pPr>
        <w:keepNext w:val="0"/>
        <w:keepLines w:val="0"/>
        <w:pageBreakBefore w:val="0"/>
        <w:widowControl w:val="0"/>
        <w:numPr>
          <w:ilvl w:val="0"/>
          <w:numId w:val="3"/>
        </w:numPr>
        <w:suppressLineNumbers w:val="0"/>
        <w:wordWrap/>
        <w:topLinePunct w:val="0"/>
        <w:bidi w:val="0"/>
        <w:adjustRightInd w:val="0"/>
        <w:snapToGrid w:val="0"/>
        <w:spacing w:beforeAutospacing="0" w:afterAutospacing="0" w:line="400" w:lineRule="exact"/>
        <w:ind w:left="0" w:leftChars="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教学条件：包括标准化的训练场地，如操场、野外训练区和模拟实战环境；配备必要的教学设备，如地图、投影仪、模型及行军装备；落实安全保障措施，包括配备急救箱、头盔、护具等物资，以及制定严格的安全预案；提供后勤支持，如交通车辆、宿营设施和维护工具；确保教材资源齐全，包括《内务条令》《纪律条令》《队列条令》等条令手册，以及相关技术资料；在现地教学、实弹射击等高危环节，配备专职安全员和监督设备，全程监控训练过程，保障师生安全。</w:t>
      </w:r>
    </w:p>
    <w:p w14:paraId="4486C298">
      <w:pPr>
        <w:keepNext w:val="0"/>
        <w:keepLines w:val="0"/>
        <w:pageBreakBefore w:val="0"/>
        <w:widowControl w:val="0"/>
        <w:numPr>
          <w:ilvl w:val="0"/>
          <w:numId w:val="3"/>
        </w:numPr>
        <w:suppressLineNumbers w:val="0"/>
        <w:wordWrap/>
        <w:topLinePunct w:val="0"/>
        <w:bidi w:val="0"/>
        <w:adjustRightInd w:val="0"/>
        <w:snapToGrid w:val="0"/>
        <w:spacing w:beforeAutospacing="0" w:afterAutospacing="0" w:line="400" w:lineRule="exact"/>
        <w:ind w:left="0" w:leftChars="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教学方法：采用理论结合实践的方式，核心包括现场演示、分组练习和互动问答等多种形式。现场演示中，教官亲自示范标准军事动作，学生通过观察模仿掌握要领；分组练习时，将学生划分为小团队，协作完成实战任务，；互动问答环节则通过提问与解答，强化条令知识的理解与应用。此外，教官注重个体差异，针对不同学生提供个性化指导，配备专职安全员全程监督，确保操作规范。同时，定期评估学生表现，结合反馈优化教学方法，提升训练实效性。</w:t>
      </w:r>
    </w:p>
    <w:p w14:paraId="545E5B86">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4）考核评价：成绩由军训教官根据学生训练考核情况、参训表现及日常行为综合评定。成绩分为优秀、良好、及格、不及格四个等级。若违反军训纪律或相关规章，将按规定予以扣分、降级或直接评定为不及格；成绩不合格者须参加补训与补考。学生需全程参与训练，严守纪律规范，积极协作互动。教官将记录日常考核积分，作为最终成绩评定的补充依据。实行三级成绩审核制度：军训教官评定《军事技能》成绩后，经教官及辅导员、学院军训办公室、学校军训办公室逐级审核、签字确认，确保成绩评定公平公正、准确无误。</w:t>
      </w:r>
    </w:p>
    <w:p w14:paraId="09D0F302">
      <w:pPr>
        <w:keepNext w:val="0"/>
        <w:keepLines w:val="0"/>
        <w:pageBreakBefore w:val="0"/>
        <w:wordWrap/>
        <w:topLinePunct w:val="0"/>
        <w:bidi w:val="0"/>
        <w:adjustRightInd w:val="0"/>
        <w:snapToGrid w:val="0"/>
        <w:spacing w:line="400" w:lineRule="exact"/>
        <w:ind w:firstLine="422" w:firstLineChars="200"/>
        <w:rPr>
          <w:rFonts w:hint="default" w:ascii="Times New Roman" w:hAnsi="Times New Roman" w:eastAsia="宋体" w:cs="宋体"/>
          <w:b/>
          <w:szCs w:val="21"/>
          <w:lang w:val="en-US" w:eastAsia="zh-CN"/>
        </w:rPr>
      </w:pPr>
      <w:r>
        <w:rPr>
          <w:rFonts w:hint="eastAsia" w:ascii="Times New Roman" w:hAnsi="Times New Roman" w:cs="宋体"/>
          <w:b/>
          <w:szCs w:val="21"/>
          <w:lang w:val="en-US" w:eastAsia="zh-CN"/>
        </w:rPr>
        <w:t>7.大学英语</w:t>
      </w:r>
    </w:p>
    <w:p w14:paraId="2E439602">
      <w:pPr>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632" w:firstLineChars="3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r>
        <w:rPr>
          <w:rFonts w:hint="eastAsia" w:ascii="宋体" w:hAnsi="宋体" w:cs="宋体"/>
          <w:b/>
          <w:bCs w:val="0"/>
          <w:kern w:val="2"/>
          <w:sz w:val="21"/>
          <w:szCs w:val="21"/>
          <w:lang w:val="en-US" w:eastAsia="zh-CN" w:bidi="ar"/>
        </w:rPr>
        <w:t>：</w:t>
      </w:r>
    </w:p>
    <w:p w14:paraId="2334AF07">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1</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知识目标</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掌握日常交际、交通出行、餐厅就医、银行服务等场景的核心词汇、短语及实用句型，涵盖问路、购票、点餐、预约等交通服务相关表达；系统学习形容词与副词、代词、情态动词、时态、被动语态等基础语法，以及限制性/非限制性定语从句、不定式与动名词、分词、虚拟语气等进阶语法规则；熟练运用多义词翻译、增译法、省略句翻译、被动语态翻译、定语从句翻译、状语从句翻译等技巧；掌握个人资料、名片、通知、海报、邀请函、欠条等应用文的写作规范；通过阅读材料接触交通站点标识、出行安全提示、交通领域人物故事等内容。</w:t>
      </w:r>
    </w:p>
    <w:p w14:paraId="297F10FB">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2</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能力目标</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能够在日常交际、旅行、职场等场景中运用英语进行有效沟通，包括模拟购票对话、撰写交通意外险投保预约函等交通服务场景实践；读懂交通站点就医指引、购物信息等实用英文材料，准确理解公共交通设施名称、安全提示等标识内容；运用所学语法和翻译技巧完成复杂句子翻译，独立撰写邀请函、请假条等应用文；借助在线教学平台（如学习通）开展自主学习，解决语言问题并优化学习策略。</w:t>
      </w:r>
    </w:p>
    <w:p w14:paraId="3DA8A398">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3</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素质目标</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在跨文化交际中增强文化自信，主动传播中国传统文化（如春节习俗、太极拳），同时尊重不同文化差异；通过小组合作完成情景对话、应用文互评等任务，提升团队协作与沟通能力；结合交通场景学习强化规则意识与安全观念，树立社会责任感；培养严谨的学习态度和自主探究精神，形成终身学习能力。</w:t>
      </w:r>
    </w:p>
    <w:p w14:paraId="7C3E2509">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2" w:firstLineChars="200"/>
        <w:jc w:val="both"/>
        <w:textAlignment w:val="auto"/>
        <w:rPr>
          <w:rFonts w:hint="eastAsia" w:ascii="宋体" w:hAnsi="宋体" w:cs="宋体"/>
          <w:b/>
          <w:bCs/>
          <w:i w:val="0"/>
          <w:iCs w:val="0"/>
          <w:caps w:val="0"/>
          <w:color w:val="1C1F23"/>
          <w:spacing w:val="0"/>
          <w:sz w:val="21"/>
          <w:szCs w:val="21"/>
          <w:shd w:val="clear" w:color="auto" w:fill="FFFFFF"/>
          <w:lang w:eastAsia="zh-CN"/>
        </w:rPr>
      </w:pPr>
      <w:r>
        <w:rPr>
          <w:rFonts w:hint="eastAsia" w:ascii="宋体" w:hAnsi="宋体" w:eastAsia="宋体" w:cs="宋体"/>
          <w:b/>
          <w:bCs/>
          <w:i w:val="0"/>
          <w:iCs w:val="0"/>
          <w:caps w:val="0"/>
          <w:color w:val="1C1F23"/>
          <w:spacing w:val="0"/>
          <w:sz w:val="21"/>
          <w:szCs w:val="21"/>
          <w:shd w:val="clear" w:color="auto" w:fill="FFFFFF"/>
        </w:rPr>
        <w:t>主要内容</w:t>
      </w:r>
      <w:r>
        <w:rPr>
          <w:rFonts w:hint="eastAsia" w:ascii="宋体" w:hAnsi="宋体" w:cs="宋体"/>
          <w:b/>
          <w:bCs/>
          <w:i w:val="0"/>
          <w:iCs w:val="0"/>
          <w:caps w:val="0"/>
          <w:color w:val="1C1F23"/>
          <w:spacing w:val="0"/>
          <w:sz w:val="21"/>
          <w:szCs w:val="21"/>
          <w:shd w:val="clear" w:color="auto" w:fill="FFFFFF"/>
          <w:lang w:eastAsia="zh-CN"/>
        </w:rPr>
        <w:t>：</w:t>
      </w:r>
    </w:p>
    <w:p w14:paraId="76E78FA3">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lang w:eastAsia="zh-CN"/>
        </w:rPr>
      </w:pPr>
      <w:r>
        <w:rPr>
          <w:rFonts w:hint="eastAsia" w:ascii="宋体" w:hAnsi="宋体" w:eastAsia="宋体" w:cs="宋体"/>
          <w:i w:val="0"/>
          <w:iCs w:val="0"/>
          <w:caps w:val="0"/>
          <w:color w:val="1C1F23"/>
          <w:spacing w:val="0"/>
          <w:kern w:val="2"/>
          <w:sz w:val="21"/>
          <w:szCs w:val="21"/>
          <w:shd w:val="clear" w:color="auto" w:fill="FFFFFF"/>
          <w:lang w:val="en-US" w:eastAsia="zh-CN" w:bidi="ar-SA"/>
        </w:rPr>
        <w:t>（1）</w:t>
      </w:r>
      <w:r>
        <w:rPr>
          <w:rFonts w:hint="eastAsia" w:ascii="宋体" w:hAnsi="宋体" w:eastAsia="宋体" w:cs="宋体"/>
          <w:i w:val="0"/>
          <w:iCs w:val="0"/>
          <w:caps w:val="0"/>
          <w:color w:val="1C1F23"/>
          <w:spacing w:val="0"/>
          <w:sz w:val="21"/>
          <w:szCs w:val="21"/>
          <w:shd w:val="clear" w:color="auto" w:fill="FFFFFF"/>
        </w:rPr>
        <w:t>日常交际与基础语法</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问候、兴趣爱好、体育运动</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自我介绍、校园生活</w:t>
      </w:r>
      <w:r>
        <w:rPr>
          <w:rFonts w:hint="eastAsia" w:ascii="宋体" w:hAnsi="宋体" w:cs="宋体"/>
          <w:i w:val="0"/>
          <w:iCs w:val="0"/>
          <w:caps w:val="0"/>
          <w:color w:val="1C1F23"/>
          <w:spacing w:val="0"/>
          <w:sz w:val="21"/>
          <w:szCs w:val="21"/>
          <w:shd w:val="clear" w:color="auto" w:fill="FFFFFF"/>
          <w:lang w:val="en-US" w:eastAsia="zh-CN"/>
        </w:rPr>
        <w:t>等</w:t>
      </w:r>
      <w:r>
        <w:rPr>
          <w:rFonts w:hint="eastAsia" w:ascii="宋体" w:hAnsi="宋体" w:eastAsia="宋体" w:cs="宋体"/>
          <w:i w:val="0"/>
          <w:iCs w:val="0"/>
          <w:caps w:val="0"/>
          <w:color w:val="1C1F23"/>
          <w:spacing w:val="0"/>
          <w:sz w:val="21"/>
          <w:szCs w:val="21"/>
          <w:shd w:val="clear" w:color="auto" w:fill="FFFFFF"/>
        </w:rPr>
        <w:t>主题交流</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旅行场景对话（如购票、问路），融入交通站点标识英文表达，掌握形容词与副词、代词的用法；学习情态动词、基本句型及对话翻译技巧</w:t>
      </w:r>
      <w:r>
        <w:rPr>
          <w:rFonts w:hint="eastAsia" w:ascii="宋体" w:hAnsi="宋体" w:cs="宋体"/>
          <w:i w:val="0"/>
          <w:iCs w:val="0"/>
          <w:caps w:val="0"/>
          <w:color w:val="1C1F23"/>
          <w:spacing w:val="0"/>
          <w:sz w:val="21"/>
          <w:szCs w:val="21"/>
          <w:shd w:val="clear" w:color="auto" w:fill="FFFFFF"/>
          <w:lang w:eastAsia="zh-CN"/>
        </w:rPr>
        <w:t>。</w:t>
      </w:r>
    </w:p>
    <w:p w14:paraId="65FA6C70">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（2）实用写作与文化传承</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个人资料、名片、通知、海报写作规范，结合校园活动设计实践任务；邀请函、感谢信、贺卡写作，融入春节习俗等</w:t>
      </w:r>
      <w:r>
        <w:rPr>
          <w:rFonts w:hint="eastAsia" w:ascii="宋体" w:hAnsi="宋体" w:cs="宋体"/>
          <w:i w:val="0"/>
          <w:iCs w:val="0"/>
          <w:caps w:val="0"/>
          <w:color w:val="1C1F23"/>
          <w:spacing w:val="0"/>
          <w:sz w:val="21"/>
          <w:szCs w:val="21"/>
          <w:shd w:val="clear" w:color="auto" w:fill="FFFFFF"/>
          <w:lang w:val="en-US" w:eastAsia="zh-CN"/>
        </w:rPr>
        <w:t>传统</w:t>
      </w:r>
      <w:r>
        <w:rPr>
          <w:rFonts w:hint="eastAsia" w:ascii="宋体" w:hAnsi="宋体" w:eastAsia="宋体" w:cs="宋体"/>
          <w:i w:val="0"/>
          <w:iCs w:val="0"/>
          <w:caps w:val="0"/>
          <w:color w:val="1C1F23"/>
          <w:spacing w:val="0"/>
          <w:sz w:val="21"/>
          <w:szCs w:val="21"/>
          <w:shd w:val="clear" w:color="auto" w:fill="FFFFFF"/>
        </w:rPr>
        <w:t>文化元素，强化文化传播能力；欠条、收据、请假条写作，结合银行服务、职场场景开展案例分析。</w:t>
      </w:r>
    </w:p>
    <w:p w14:paraId="18F47F98">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（3）健康生活与交通服务</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餐厅就餐、就医场景英语表达，学习限制性定语从句、被动语态翻译；车站餐厅点餐模拟，掌握交通服务场景核心词汇与句型；心理健康、个人理财主题阅读，渗透健康生活、理性消费理念。</w:t>
      </w:r>
    </w:p>
    <w:p w14:paraId="49B3988A">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 xml:space="preserve">（4）职场应用与高阶语法银行服务、预约场景英语沟通，学习虚拟语气、状语从句翻译技巧；商务信函、简历写作规范，结合职场需求设计模拟任务；分析不定式与动名词、分词的语法功能。 </w:t>
      </w:r>
      <w:r>
        <w:rPr>
          <w:rFonts w:hint="eastAsia" w:ascii="宋体" w:hAnsi="宋体" w:cs="宋体"/>
          <w:i w:val="0"/>
          <w:iCs w:val="0"/>
          <w:caps w:val="0"/>
          <w:color w:val="1C1F23"/>
          <w:spacing w:val="0"/>
          <w:sz w:val="21"/>
          <w:szCs w:val="21"/>
          <w:shd w:val="clear" w:color="auto" w:fill="FFFFFF"/>
          <w:lang w:eastAsia="zh-CN"/>
        </w:rPr>
        <w:t xml:space="preserve">  </w:t>
      </w:r>
      <w:r>
        <w:rPr>
          <w:rFonts w:hint="eastAsia" w:ascii="宋体" w:hAnsi="宋体" w:eastAsia="宋体" w:cs="宋体"/>
          <w:i w:val="0"/>
          <w:iCs w:val="0"/>
          <w:caps w:val="0"/>
          <w:color w:val="1C1F23"/>
          <w:spacing w:val="0"/>
          <w:sz w:val="21"/>
          <w:szCs w:val="21"/>
          <w:shd w:val="clear" w:color="auto" w:fill="FFFFFF"/>
        </w:rPr>
        <w:t xml:space="preserve"> </w:t>
      </w:r>
    </w:p>
    <w:p w14:paraId="49A66614">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2" w:firstLineChars="200"/>
        <w:jc w:val="both"/>
        <w:textAlignment w:val="auto"/>
        <w:rPr>
          <w:rFonts w:hint="eastAsia" w:ascii="宋体" w:hAnsi="宋体" w:cs="宋体"/>
          <w:b/>
          <w:bCs/>
          <w:i w:val="0"/>
          <w:iCs w:val="0"/>
          <w:caps w:val="0"/>
          <w:color w:val="1C1F23"/>
          <w:spacing w:val="0"/>
          <w:sz w:val="21"/>
          <w:szCs w:val="21"/>
          <w:shd w:val="clear" w:color="auto" w:fill="FFFFFF"/>
          <w:lang w:eastAsia="zh-CN"/>
        </w:rPr>
      </w:pPr>
      <w:r>
        <w:rPr>
          <w:rFonts w:hint="eastAsia" w:ascii="宋体" w:hAnsi="宋体" w:eastAsia="宋体" w:cs="宋体"/>
          <w:b/>
          <w:bCs/>
          <w:i w:val="0"/>
          <w:iCs w:val="0"/>
          <w:caps w:val="0"/>
          <w:color w:val="1C1F23"/>
          <w:spacing w:val="0"/>
          <w:sz w:val="21"/>
          <w:szCs w:val="21"/>
          <w:shd w:val="clear" w:color="auto" w:fill="FFFFFF"/>
        </w:rPr>
        <w:t>教学要求</w:t>
      </w:r>
      <w:r>
        <w:rPr>
          <w:rFonts w:hint="eastAsia" w:ascii="宋体" w:hAnsi="宋体" w:cs="宋体"/>
          <w:b/>
          <w:bCs/>
          <w:i w:val="0"/>
          <w:iCs w:val="0"/>
          <w:caps w:val="0"/>
          <w:color w:val="1C1F23"/>
          <w:spacing w:val="0"/>
          <w:sz w:val="21"/>
          <w:szCs w:val="21"/>
          <w:shd w:val="clear" w:color="auto" w:fill="FFFFFF"/>
          <w:lang w:eastAsia="zh-CN"/>
        </w:rPr>
        <w:t>：</w:t>
      </w:r>
    </w:p>
    <w:p w14:paraId="7DC4B563">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kern w:val="2"/>
          <w:sz w:val="21"/>
          <w:szCs w:val="21"/>
          <w:shd w:val="clear" w:color="auto" w:fill="FFFFFF"/>
          <w:lang w:val="en-US" w:eastAsia="zh-CN" w:bidi="ar-SA"/>
        </w:rPr>
        <w:t>（1）</w:t>
      </w:r>
      <w:r>
        <w:rPr>
          <w:rFonts w:hint="eastAsia" w:ascii="宋体" w:hAnsi="宋体" w:eastAsia="宋体" w:cs="宋体"/>
          <w:i w:val="0"/>
          <w:iCs w:val="0"/>
          <w:caps w:val="0"/>
          <w:color w:val="1C1F23"/>
          <w:spacing w:val="0"/>
          <w:sz w:val="21"/>
          <w:szCs w:val="21"/>
          <w:shd w:val="clear" w:color="auto" w:fill="FFFFFF"/>
        </w:rPr>
        <w:t>教师要求</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具备扎实的英语语言知识体系，熟练掌握任务驱动法、情景教学法等教学策略；能够将交通服务场景元素自然融入教学内容，深度挖掘思政教育点（如规则意识、文化自信）；精通多媒体课件制作、在线教学平台（如SPOC）应用等信息技术，优化教学过程。</w:t>
      </w:r>
    </w:p>
    <w:p w14:paraId="4658C958">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（2）教学条件</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 xml:space="preserve">理论教学需配备多媒体教室，实践教学依托语音实验室，配备听力训练软件、口语互动设备；搭建在线教学平台，支持师生线上互动、作业批改及学习行为跟踪。 </w:t>
      </w:r>
    </w:p>
    <w:p w14:paraId="74D448A1">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kern w:val="2"/>
          <w:sz w:val="21"/>
          <w:szCs w:val="21"/>
          <w:shd w:val="clear" w:color="auto" w:fill="FFFFFF"/>
          <w:lang w:val="en-US" w:eastAsia="zh-CN" w:bidi="ar-SA"/>
        </w:rPr>
        <w:t>（</w:t>
      </w:r>
      <w:r>
        <w:rPr>
          <w:rFonts w:hint="eastAsia" w:ascii="宋体" w:hAnsi="宋体" w:cs="宋体"/>
          <w:i w:val="0"/>
          <w:iCs w:val="0"/>
          <w:caps w:val="0"/>
          <w:color w:val="1C1F23"/>
          <w:spacing w:val="0"/>
          <w:kern w:val="2"/>
          <w:sz w:val="21"/>
          <w:szCs w:val="21"/>
          <w:shd w:val="clear" w:color="auto" w:fill="FFFFFF"/>
          <w:lang w:val="en-US" w:eastAsia="zh-CN" w:bidi="ar-SA"/>
        </w:rPr>
        <w:t>3</w:t>
      </w:r>
      <w:r>
        <w:rPr>
          <w:rFonts w:hint="eastAsia" w:ascii="宋体" w:hAnsi="宋体" w:eastAsia="宋体" w:cs="宋体"/>
          <w:i w:val="0"/>
          <w:iCs w:val="0"/>
          <w:caps w:val="0"/>
          <w:color w:val="1C1F23"/>
          <w:spacing w:val="0"/>
          <w:kern w:val="2"/>
          <w:sz w:val="21"/>
          <w:szCs w:val="21"/>
          <w:shd w:val="clear" w:color="auto" w:fill="FFFFFF"/>
          <w:lang w:val="en-US" w:eastAsia="zh-CN" w:bidi="ar-SA"/>
        </w:rPr>
        <w:t>）</w:t>
      </w:r>
      <w:r>
        <w:rPr>
          <w:rFonts w:hint="eastAsia" w:ascii="宋体" w:hAnsi="宋体" w:eastAsia="宋体" w:cs="宋体"/>
          <w:i w:val="0"/>
          <w:iCs w:val="0"/>
          <w:caps w:val="0"/>
          <w:color w:val="1C1F23"/>
          <w:spacing w:val="0"/>
          <w:sz w:val="21"/>
          <w:szCs w:val="21"/>
          <w:shd w:val="clear" w:color="auto" w:fill="FFFFFF"/>
        </w:rPr>
        <w:t>教学方法</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 xml:space="preserve">任务驱动法：设计“模拟地铁站务员服务”“撰写交通通知”等实践任务，强化语言应用能力；情景教学法：通过角色扮演再现购票、点餐等场景，增强学习体验感；案例分析法：选取车站标识等实用文案例，解析写作逻辑；线上线下混合教学：利用在线平台布置预习任务（如观看交通场景微课），课堂聚焦重点讲解与互动。 </w:t>
      </w:r>
    </w:p>
    <w:p w14:paraId="5DD34740">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right="0" w:rightChars="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i w:val="0"/>
          <w:iCs w:val="0"/>
          <w:caps w:val="0"/>
          <w:color w:val="1C1F23"/>
          <w:spacing w:val="0"/>
          <w:sz w:val="21"/>
          <w:szCs w:val="21"/>
          <w:shd w:val="clear" w:color="auto" w:fill="FFFFFF"/>
        </w:rPr>
        <w:t>（4）考核评价</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过程考核占40%，综合考核占60%（期末综合测试）。</w:t>
      </w:r>
      <w:r>
        <w:rPr>
          <w:rFonts w:hint="eastAsia" w:ascii="宋体" w:hAnsi="宋体" w:cs="宋体"/>
          <w:i w:val="0"/>
          <w:iCs w:val="0"/>
          <w:caps w:val="0"/>
          <w:color w:val="1C1F23"/>
          <w:spacing w:val="0"/>
          <w:sz w:val="21"/>
          <w:szCs w:val="21"/>
          <w:shd w:val="clear" w:color="auto" w:fill="FFFFFF"/>
          <w:lang w:val="en-US" w:eastAsia="zh-CN"/>
        </w:rPr>
        <w:t>综合</w:t>
      </w:r>
      <w:r>
        <w:rPr>
          <w:rFonts w:hint="eastAsia" w:ascii="宋体" w:hAnsi="宋体" w:eastAsia="宋体" w:cs="宋体"/>
          <w:i w:val="0"/>
          <w:iCs w:val="0"/>
          <w:caps w:val="0"/>
          <w:color w:val="1C1F23"/>
          <w:spacing w:val="0"/>
          <w:sz w:val="21"/>
          <w:szCs w:val="21"/>
          <w:shd w:val="clear" w:color="auto" w:fill="FFFFFF"/>
        </w:rPr>
        <w:t>涵盖阅读</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语法</w:t>
      </w:r>
      <w:r>
        <w:rPr>
          <w:rFonts w:hint="eastAsia" w:ascii="宋体" w:hAnsi="宋体" w:eastAsia="宋体" w:cs="宋体"/>
          <w:i w:val="0"/>
          <w:iCs w:val="0"/>
          <w:caps w:val="0"/>
          <w:color w:val="1C1F23"/>
          <w:spacing w:val="0"/>
          <w:sz w:val="21"/>
          <w:szCs w:val="21"/>
          <w:shd w:val="clear" w:color="auto" w:fill="FFFFFF"/>
        </w:rPr>
        <w:t>、</w:t>
      </w:r>
      <w:r>
        <w:rPr>
          <w:rFonts w:hint="eastAsia" w:ascii="宋体" w:hAnsi="宋体" w:cs="宋体"/>
          <w:i w:val="0"/>
          <w:iCs w:val="0"/>
          <w:caps w:val="0"/>
          <w:color w:val="1C1F23"/>
          <w:spacing w:val="0"/>
          <w:sz w:val="21"/>
          <w:szCs w:val="21"/>
          <w:shd w:val="clear" w:color="auto" w:fill="FFFFFF"/>
          <w:lang w:val="en-US" w:eastAsia="zh-CN"/>
        </w:rPr>
        <w:t>词汇、翻译、</w:t>
      </w:r>
      <w:r>
        <w:rPr>
          <w:rFonts w:hint="eastAsia" w:ascii="宋体" w:hAnsi="宋体" w:eastAsia="宋体" w:cs="宋体"/>
          <w:i w:val="0"/>
          <w:iCs w:val="0"/>
          <w:caps w:val="0"/>
          <w:color w:val="1C1F23"/>
          <w:spacing w:val="0"/>
          <w:sz w:val="21"/>
          <w:szCs w:val="21"/>
          <w:shd w:val="clear" w:color="auto" w:fill="FFFFFF"/>
        </w:rPr>
        <w:t>写作等多维度能力评测</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考查实际语言运用能力。</w:t>
      </w:r>
    </w:p>
    <w:p w14:paraId="505EACE2">
      <w:pPr>
        <w:keepNext w:val="0"/>
        <w:keepLines w:val="0"/>
        <w:pageBreakBefore w:val="0"/>
        <w:wordWrap/>
        <w:topLinePunct w:val="0"/>
        <w:bidi w:val="0"/>
        <w:adjustRightInd w:val="0"/>
        <w:snapToGrid w:val="0"/>
        <w:spacing w:line="400" w:lineRule="exact"/>
        <w:ind w:firstLine="422" w:firstLineChars="200"/>
        <w:rPr>
          <w:rFonts w:hint="default" w:ascii="Times New Roman" w:hAnsi="Times New Roman" w:cs="宋体"/>
          <w:b/>
          <w:szCs w:val="21"/>
          <w:lang w:val="en-US" w:eastAsia="zh-CN"/>
        </w:rPr>
      </w:pPr>
      <w:r>
        <w:rPr>
          <w:rFonts w:hint="eastAsia" w:ascii="Times New Roman" w:hAnsi="Times New Roman" w:cs="宋体"/>
          <w:b/>
          <w:szCs w:val="21"/>
          <w:lang w:val="en-US" w:eastAsia="zh-CN"/>
        </w:rPr>
        <w:t>8.大学语文</w:t>
      </w:r>
    </w:p>
    <w:p w14:paraId="45A44145">
      <w:pPr>
        <w:pStyle w:val="24"/>
        <w:keepNext w:val="0"/>
        <w:keepLines w:val="0"/>
        <w:pageBreakBefore w:val="0"/>
        <w:widowControl/>
        <w:kinsoku/>
        <w:wordWrap/>
        <w:overflowPunct/>
        <w:topLinePunct w:val="0"/>
        <w:autoSpaceDN/>
        <w:bidi w:val="0"/>
        <w:spacing w:beforeAutospacing="0" w:afterAutospacing="0" w:line="400" w:lineRule="exact"/>
        <w:ind w:left="0" w:right="0" w:firstLine="422" w:firstLineChars="200"/>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rPr>
        <w:t>课程目标：</w:t>
      </w:r>
    </w:p>
    <w:p w14:paraId="3A6601DE">
      <w:pPr>
        <w:pStyle w:val="24"/>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（1）知识目标：掌握口语表达的基本技巧与礼仪规范，了解不同场景的语言特点；熟知中外经典文学作品的思想内涵与艺术手法；掌握各类应用文的格式规范与写作要求。</w:t>
      </w:r>
    </w:p>
    <w:p w14:paraId="6AB8BB44">
      <w:pPr>
        <w:pStyle w:val="24"/>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（2）能力目标：理解与运用祖国语言文字的能力（包括写作能力、语言表达能力、交际能力等）；掌握鉴赏评价文学作品的能力。</w:t>
      </w:r>
    </w:p>
    <w:p w14:paraId="4A9A779C">
      <w:pPr>
        <w:pStyle w:val="24"/>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（3）素质目标：了解中华民族的优秀传统文化，培养学生高尚的思想品质和良好的道德情操，接受爱国主义的熏陶和教育，增强民族感和自信心。</w:t>
      </w:r>
    </w:p>
    <w:p w14:paraId="1D4A1D4D">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626FBF69">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（1）口语表达：涵盖普通话口语训练、日常交谈、求职等场景的表达技巧训练，以及</w:t>
      </w:r>
    </w:p>
    <w:p w14:paraId="0F12C31C">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right="0"/>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语言逻辑、肢体语言与倾听能力的综合培养；（2）文学鉴赏：包含诗歌、散文、小说等文学作品的文本解读、艺术手法分析、思想内涵探究，以及审美能力与人文素养的提升；（3）应用写作：涉及行政公文、日常文书、事务性文书等实用文体的格式规范、写作方法及实际场景应用练习。</w:t>
      </w:r>
    </w:p>
    <w:p w14:paraId="34D5A4BB">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04B83844">
      <w:pPr>
        <w:keepNext w:val="0"/>
        <w:keepLines w:val="0"/>
        <w:pageBreakBefore w:val="0"/>
        <w:widowControl w:val="0"/>
        <w:numPr>
          <w:ilvl w:val="0"/>
          <w:numId w:val="0"/>
        </w:numPr>
        <w:suppressLineNumbers w:val="0"/>
        <w:kinsoku/>
        <w:wordWrap/>
        <w:overflowPunct/>
        <w:topLinePunct w:val="0"/>
        <w:autoSpaceDE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教师要求：需掌握中国文学史上重要作家的代表作及风格，同时了解中外经典文学作品的核心思想与文化内涵。要强化阅读理解能力，能准确分析文本结构、把握主旨及艺术手法；提升写作水平，可撰写规范的议论文、应用文，做到逻辑清晰、语言流畅；还要具备口头表达能力，通过课堂讨论、演讲等形式清晰阐述观点。注重引导学生通过文学作品感悟人文精神，培养审美情趣与批判性思维，使其能将语文素养融入专业学习与生活实践，形成良好的文化品格。</w:t>
      </w:r>
    </w:p>
    <w:p w14:paraId="5C54C90C">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（2）</w:t>
      </w:r>
      <w:r>
        <w:rPr>
          <w:rFonts w:hint="eastAsia" w:ascii="宋体" w:hAnsi="宋体" w:eastAsia="宋体" w:cs="宋体"/>
          <w:b w:val="0"/>
          <w:bCs/>
          <w:kern w:val="2"/>
          <w:sz w:val="21"/>
          <w:szCs w:val="21"/>
          <w:lang w:val="en-US" w:eastAsia="zh-CN" w:bidi="ar"/>
        </w:rPr>
        <w:t>教学条件：多媒体辅助课件</w:t>
      </w:r>
    </w:p>
    <w:p w14:paraId="1A958EFA">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leftChars="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（3）教学方法：现场教学法、小组讨论法、案例教学法、</w:t>
      </w:r>
      <w:r>
        <w:rPr>
          <w:rFonts w:hint="eastAsia" w:ascii="宋体" w:hAnsi="宋体" w:cs="宋体"/>
          <w:b w:val="0"/>
          <w:bCs/>
          <w:kern w:val="2"/>
          <w:sz w:val="21"/>
          <w:szCs w:val="21"/>
          <w:lang w:val="en-US" w:eastAsia="zh-CN" w:bidi="ar"/>
        </w:rPr>
        <w:t>情景</w:t>
      </w:r>
      <w:r>
        <w:rPr>
          <w:rFonts w:hint="eastAsia" w:ascii="宋体" w:hAnsi="宋体" w:eastAsia="宋体" w:cs="宋体"/>
          <w:b w:val="0"/>
          <w:bCs/>
          <w:kern w:val="2"/>
          <w:sz w:val="21"/>
          <w:szCs w:val="21"/>
          <w:lang w:val="en-US" w:eastAsia="zh-CN" w:bidi="ar"/>
        </w:rPr>
        <w:t>模拟法</w:t>
      </w:r>
    </w:p>
    <w:p w14:paraId="06AB4404">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jc w:val="both"/>
        <w:textAlignment w:val="auto"/>
        <w:rPr>
          <w:rFonts w:hint="eastAsia" w:ascii="Times New Roman" w:hAnsi="Times New Roman" w:cs="宋体"/>
          <w:b/>
          <w:szCs w:val="21"/>
          <w:lang w:val="en-US" w:eastAsia="zh-CN"/>
        </w:rPr>
      </w:pPr>
      <w:r>
        <w:rPr>
          <w:rFonts w:hint="eastAsia" w:ascii="宋体" w:hAnsi="宋体" w:eastAsia="宋体" w:cs="宋体"/>
          <w:b w:val="0"/>
          <w:bCs/>
          <w:kern w:val="2"/>
          <w:sz w:val="21"/>
          <w:szCs w:val="21"/>
          <w:lang w:val="en-US" w:eastAsia="zh-CN" w:bidi="ar"/>
        </w:rPr>
        <w:t>（4）考核评价：过程考核占</w:t>
      </w:r>
      <w:r>
        <w:rPr>
          <w:rFonts w:hint="default" w:ascii="宋体" w:hAnsi="宋体" w:cs="宋体"/>
          <w:b w:val="0"/>
          <w:bCs/>
          <w:kern w:val="2"/>
          <w:sz w:val="21"/>
          <w:szCs w:val="21"/>
          <w:lang w:eastAsia="zh-CN" w:bidi="ar"/>
        </w:rPr>
        <w:t>4</w:t>
      </w:r>
      <w:r>
        <w:rPr>
          <w:rFonts w:hint="eastAsia" w:ascii="宋体" w:hAnsi="宋体" w:eastAsia="宋体" w:cs="宋体"/>
          <w:b w:val="0"/>
          <w:bCs/>
          <w:kern w:val="2"/>
          <w:sz w:val="21"/>
          <w:szCs w:val="21"/>
          <w:lang w:val="en-US" w:eastAsia="zh-CN" w:bidi="ar"/>
        </w:rPr>
        <w:t>0%+期末综合考核占</w:t>
      </w:r>
      <w:r>
        <w:rPr>
          <w:rFonts w:hint="default" w:ascii="宋体" w:hAnsi="宋体" w:cs="宋体"/>
          <w:b w:val="0"/>
          <w:bCs/>
          <w:kern w:val="2"/>
          <w:sz w:val="21"/>
          <w:szCs w:val="21"/>
          <w:lang w:eastAsia="zh-CN" w:bidi="ar"/>
        </w:rPr>
        <w:t>6</w:t>
      </w:r>
      <w:r>
        <w:rPr>
          <w:rFonts w:hint="eastAsia" w:ascii="宋体" w:hAnsi="宋体" w:eastAsia="宋体" w:cs="宋体"/>
          <w:b w:val="0"/>
          <w:bCs/>
          <w:kern w:val="2"/>
          <w:sz w:val="21"/>
          <w:szCs w:val="21"/>
          <w:lang w:val="en-US" w:eastAsia="zh-CN" w:bidi="ar"/>
        </w:rPr>
        <w:t>0%。</w:t>
      </w:r>
    </w:p>
    <w:p w14:paraId="7EC4B245">
      <w:pPr>
        <w:keepNext w:val="0"/>
        <w:keepLines w:val="0"/>
        <w:pageBreakBefore w:val="0"/>
        <w:wordWrap/>
        <w:topLinePunct w:val="0"/>
        <w:bidi w:val="0"/>
        <w:adjustRightInd w:val="0"/>
        <w:snapToGrid w:val="0"/>
        <w:spacing w:line="400" w:lineRule="exact"/>
        <w:ind w:firstLine="422" w:firstLineChars="200"/>
        <w:rPr>
          <w:rFonts w:hint="default" w:ascii="Times New Roman" w:hAnsi="Times New Roman" w:cs="宋体"/>
          <w:b/>
          <w:szCs w:val="21"/>
          <w:lang w:val="en-US" w:eastAsia="zh-CN"/>
        </w:rPr>
      </w:pPr>
      <w:r>
        <w:rPr>
          <w:rFonts w:hint="eastAsia" w:ascii="Times New Roman" w:hAnsi="Times New Roman" w:cs="宋体"/>
          <w:b/>
          <w:szCs w:val="21"/>
          <w:lang w:val="en-US" w:eastAsia="zh-CN"/>
        </w:rPr>
        <w:t>9.高等数学A</w:t>
      </w:r>
    </w:p>
    <w:p w14:paraId="03737B4D">
      <w:pPr>
        <w:pStyle w:val="12"/>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48E410B9">
      <w:pPr>
        <w:pStyle w:val="12"/>
        <w:keepNext w:val="0"/>
        <w:keepLines w:val="0"/>
        <w:pageBreakBefore w:val="0"/>
        <w:widowControl w:val="0"/>
        <w:suppressLineNumbers w:val="0"/>
        <w:wordWrap/>
        <w:topLinePunct w:val="0"/>
        <w:bidi w:val="0"/>
        <w:spacing w:beforeAutospacing="0" w:afterAutospacing="0" w:line="400" w:lineRule="exact"/>
        <w:ind w:right="102"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1）知识目标：通过本课程的学习，使学生掌握函数极限的定义和极限的运算法则，理解函数连续的定义；掌握函数微积分的基本概念、基本理论、基本运算和典型应用；掌握微分方程和多元函数微积分的基本概念、基本理论、基本运算和典型应用；通过各个教学环节逐步培养学生具有一定的运算能力、逻辑推理能力、抽象概括能力、综合运用所学知识分析和解决问题的能力、运用工具的能力和自学能力。</w:t>
      </w:r>
    </w:p>
    <w:p w14:paraId="49131895">
      <w:pPr>
        <w:pStyle w:val="12"/>
        <w:keepNext w:val="0"/>
        <w:keepLines w:val="0"/>
        <w:pageBreakBefore w:val="0"/>
        <w:widowControl w:val="0"/>
        <w:suppressLineNumbers w:val="0"/>
        <w:wordWrap/>
        <w:topLinePunct w:val="0"/>
        <w:bidi w:val="0"/>
        <w:spacing w:beforeAutospacing="0" w:afterAutospacing="0" w:line="400" w:lineRule="exact"/>
        <w:ind w:right="102"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（2）能力目标：培养学生具有一定的运算能力、逻辑推理能力、抽象概括能力、综合运用所学知识分析和解决问题的能力、运用工具的能力和自学能力。</w:t>
      </w:r>
    </w:p>
    <w:p w14:paraId="50C55FC0">
      <w:pPr>
        <w:pStyle w:val="12"/>
        <w:keepNext w:val="0"/>
        <w:keepLines w:val="0"/>
        <w:pageBreakBefore w:val="0"/>
        <w:widowControl w:val="0"/>
        <w:suppressLineNumbers w:val="0"/>
        <w:wordWrap/>
        <w:topLinePunct w:val="0"/>
        <w:bidi w:val="0"/>
        <w:spacing w:beforeAutospacing="0" w:afterAutospacing="0" w:line="400" w:lineRule="exact"/>
        <w:ind w:right="102" w:firstLine="420" w:firstLineChars="200"/>
        <w:jc w:val="both"/>
        <w:rPr>
          <w:rFonts w:hint="eastAsia" w:ascii="宋体" w:hAnsi="宋体" w:eastAsia="宋体" w:cs="宋体"/>
          <w:bCs/>
          <w:color w:val="FF0000"/>
          <w:kern w:val="2"/>
          <w:sz w:val="21"/>
          <w:szCs w:val="21"/>
        </w:rPr>
      </w:pPr>
      <w:r>
        <w:rPr>
          <w:rFonts w:hint="eastAsia" w:ascii="宋体" w:hAnsi="宋体" w:eastAsia="宋体" w:cs="宋体"/>
          <w:bCs/>
          <w:kern w:val="2"/>
          <w:sz w:val="21"/>
          <w:szCs w:val="21"/>
          <w:lang w:val="en-US" w:eastAsia="zh-CN" w:bidi="ar"/>
        </w:rPr>
        <w:t>（3）素质目标：培养学生谦虚、好学的能力；培养学生勤于思考、做事认真的良好作风；培养学生良好的职业道德。</w:t>
      </w:r>
    </w:p>
    <w:p w14:paraId="01530068">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1"/>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7F628A75">
      <w:pPr>
        <w:pStyle w:val="12"/>
        <w:keepNext w:val="0"/>
        <w:keepLines w:val="0"/>
        <w:pageBreakBefore w:val="0"/>
        <w:widowControl w:val="0"/>
        <w:suppressLineNumbers w:val="0"/>
        <w:wordWrap/>
        <w:topLinePunct w:val="0"/>
        <w:bidi w:val="0"/>
        <w:spacing w:beforeAutospacing="0" w:afterAutospacing="0" w:line="400" w:lineRule="exact"/>
        <w:ind w:right="102"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第一学期的学习内容为:函数、极限与连续；一元函数微分学；一元函数积分学；</w:t>
      </w:r>
    </w:p>
    <w:p w14:paraId="5AFEC4A6">
      <w:pPr>
        <w:pStyle w:val="12"/>
        <w:keepNext w:val="0"/>
        <w:keepLines w:val="0"/>
        <w:pageBreakBefore w:val="0"/>
        <w:widowControl w:val="0"/>
        <w:suppressLineNumbers w:val="0"/>
        <w:wordWrap/>
        <w:topLinePunct w:val="0"/>
        <w:bidi w:val="0"/>
        <w:spacing w:beforeAutospacing="0" w:afterAutospacing="0" w:line="400" w:lineRule="exact"/>
        <w:ind w:right="102"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第二学期的学习内容为:微分方程；多元函数微分学；行列式和矩阵、线性方程组。</w:t>
      </w:r>
    </w:p>
    <w:p w14:paraId="5F00988D">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1"/>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24CBE4DB">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leftChars="0" w:right="0" w:rightChars="0" w:firstLine="420" w:firstLineChars="0"/>
        <w:jc w:val="both"/>
        <w:rPr>
          <w:rFonts w:hint="eastAsia" w:ascii="宋体" w:hAnsi="宋体" w:eastAsia="宋体" w:cs="宋体"/>
          <w:bCs/>
          <w:kern w:val="2"/>
          <w:sz w:val="21"/>
          <w:szCs w:val="21"/>
        </w:rPr>
      </w:pPr>
      <w:r>
        <w:rPr>
          <w:rFonts w:hint="eastAsia" w:ascii="宋体" w:hAnsi="宋体" w:cs="宋体"/>
          <w:bCs/>
          <w:kern w:val="2"/>
          <w:sz w:val="21"/>
          <w:szCs w:val="21"/>
          <w:lang w:val="en-US" w:eastAsia="zh-CN" w:bidi="ar"/>
        </w:rPr>
        <w:t>（1）</w:t>
      </w:r>
      <w:r>
        <w:rPr>
          <w:rFonts w:hint="eastAsia" w:ascii="宋体" w:hAnsi="宋体" w:eastAsia="宋体" w:cs="宋体"/>
          <w:bCs/>
          <w:kern w:val="2"/>
          <w:sz w:val="21"/>
          <w:szCs w:val="21"/>
          <w:lang w:val="en-US" w:eastAsia="zh-CN" w:bidi="ar"/>
        </w:rPr>
        <w:t>教师要求：掌握函数极限的定义和极限的运算法则，掌握函数连续的定义；掌握一元函数微积分、定积分、不定积分的基本概念、基本理论、基本运算和典型应用；掌握行列式和矩阵、线性方程组的基本概念、基本理论、运算法则；掌握微分方程和多元函数微积分的基本概念、基本理论、基本运算和典型应用；能用通俗易懂的语言给学生传授相关知识。</w:t>
      </w:r>
    </w:p>
    <w:p w14:paraId="5FE29B1D">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（2）教学条件：多媒体辅助课件,投影设备,黑板等。</w:t>
      </w:r>
    </w:p>
    <w:p w14:paraId="6F68F74E">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（3）教学方法：现场教学法、分组讨论法、直观演示法、自主学习法和任务驱动法。</w:t>
      </w:r>
    </w:p>
    <w:p w14:paraId="76287320">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jc w:val="both"/>
        <w:rPr>
          <w:rFonts w:hint="eastAsia" w:ascii="Times New Roman" w:hAnsi="Times New Roman" w:cs="宋体"/>
          <w:b/>
          <w:szCs w:val="21"/>
          <w:lang w:val="en-US" w:eastAsia="zh-CN"/>
        </w:rPr>
      </w:pPr>
      <w:r>
        <w:rPr>
          <w:rFonts w:hint="eastAsia" w:ascii="宋体" w:hAnsi="宋体" w:eastAsia="宋体" w:cs="宋体"/>
          <w:bCs/>
          <w:kern w:val="2"/>
          <w:sz w:val="21"/>
          <w:szCs w:val="21"/>
          <w:lang w:val="en-US" w:eastAsia="zh-CN" w:bidi="ar"/>
        </w:rPr>
        <w:t>（4）考核评价：过程考核占40%+综合考核占60%。</w:t>
      </w:r>
    </w:p>
    <w:p w14:paraId="2EBA2EE4">
      <w:pPr>
        <w:keepNext w:val="0"/>
        <w:keepLines w:val="0"/>
        <w:pageBreakBefore w:val="0"/>
        <w:wordWrap/>
        <w:topLinePunct w:val="0"/>
        <w:bidi w:val="0"/>
        <w:adjustRightInd w:val="0"/>
        <w:snapToGrid w:val="0"/>
        <w:spacing w:line="400" w:lineRule="exact"/>
        <w:ind w:firstLine="422" w:firstLineChars="200"/>
        <w:rPr>
          <w:rFonts w:hint="default" w:ascii="Times New Roman" w:hAnsi="Times New Roman" w:cs="宋体"/>
          <w:b/>
          <w:szCs w:val="21"/>
          <w:lang w:val="en-US" w:eastAsia="zh-CN"/>
        </w:rPr>
      </w:pPr>
      <w:r>
        <w:rPr>
          <w:rFonts w:hint="eastAsia" w:ascii="Times New Roman" w:hAnsi="Times New Roman" w:cs="宋体"/>
          <w:b/>
          <w:szCs w:val="21"/>
          <w:lang w:val="en-US" w:eastAsia="zh-CN"/>
        </w:rPr>
        <w:t>10.大学体育</w:t>
      </w:r>
    </w:p>
    <w:p w14:paraId="49ED19DF">
      <w:pPr>
        <w:keepNext w:val="0"/>
        <w:keepLines w:val="0"/>
        <w:pageBreakBefore w:val="0"/>
        <w:widowControl w:val="0"/>
        <w:kinsoku/>
        <w:wordWrap/>
        <w:overflowPunct/>
        <w:topLinePunct w:val="0"/>
        <w:autoSpaceDN/>
        <w:bidi w:val="0"/>
        <w:spacing w:beforeAutospacing="0" w:afterAutospacing="0" w:line="400" w:lineRule="exact"/>
        <w:ind w:right="0" w:firstLine="632" w:firstLineChars="300"/>
        <w:textAlignment w:val="auto"/>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rPr>
        <w:t>课程目标：</w:t>
      </w:r>
    </w:p>
    <w:p w14:paraId="68916FB1">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Cs/>
          <w:kern w:val="2"/>
          <w:sz w:val="21"/>
          <w:szCs w:val="21"/>
          <w:lang w:eastAsia="zh-CN"/>
        </w:rPr>
      </w:pPr>
      <w:r>
        <w:rPr>
          <w:rFonts w:hint="eastAsia" w:ascii="宋体" w:hAnsi="宋体" w:eastAsia="宋体" w:cs="宋体"/>
          <w:bCs/>
          <w:kern w:val="2"/>
          <w:sz w:val="21"/>
          <w:szCs w:val="21"/>
          <w:lang w:eastAsia="zh-CN"/>
        </w:rPr>
        <w:t>（</w:t>
      </w:r>
      <w:r>
        <w:rPr>
          <w:rFonts w:ascii="宋体" w:hAnsi="宋体" w:eastAsia="宋体" w:cs="宋体"/>
          <w:bCs/>
          <w:kern w:val="2"/>
          <w:sz w:val="21"/>
          <w:szCs w:val="21"/>
          <w:lang w:eastAsia="zh-CN"/>
        </w:rPr>
        <w:t>1</w:t>
      </w:r>
      <w:r>
        <w:rPr>
          <w:rFonts w:hint="eastAsia" w:ascii="宋体" w:hAnsi="宋体" w:eastAsia="宋体" w:cs="宋体"/>
          <w:bCs/>
          <w:kern w:val="2"/>
          <w:sz w:val="21"/>
          <w:szCs w:val="21"/>
          <w:lang w:eastAsia="zh-CN"/>
        </w:rPr>
        <w:t>）知识目标：按照《全国普通高等学校体育课程教学指导纲要》《高等学校体育工作基本标准》等文件要求，通过体育课程教学使学生基本掌握两项以上体育运动技能和相应竞赛规则，同时，提高学生遵守竞赛规则、交通法规的意识，提高学生体育运动水平和体质健康水平，并学会常见运动损伤的预防和处置方法。</w:t>
      </w:r>
    </w:p>
    <w:p w14:paraId="3297F7E4">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Cs/>
          <w:kern w:val="2"/>
          <w:sz w:val="21"/>
          <w:szCs w:val="21"/>
          <w:lang w:eastAsia="zh-CN"/>
        </w:rPr>
      </w:pPr>
      <w:r>
        <w:rPr>
          <w:rFonts w:hint="eastAsia" w:ascii="宋体" w:hAnsi="宋体" w:eastAsia="宋体" w:cs="宋体"/>
          <w:bCs/>
          <w:kern w:val="2"/>
          <w:sz w:val="21"/>
          <w:szCs w:val="21"/>
          <w:lang w:eastAsia="zh-CN"/>
        </w:rPr>
        <w:t>（</w:t>
      </w:r>
      <w:r>
        <w:rPr>
          <w:rFonts w:ascii="宋体" w:hAnsi="宋体" w:eastAsia="宋体" w:cs="宋体"/>
          <w:bCs/>
          <w:kern w:val="2"/>
          <w:sz w:val="21"/>
          <w:szCs w:val="21"/>
          <w:lang w:eastAsia="zh-CN"/>
        </w:rPr>
        <w:t>2</w:t>
      </w:r>
      <w:r>
        <w:rPr>
          <w:rFonts w:hint="eastAsia" w:ascii="宋体" w:hAnsi="宋体" w:eastAsia="宋体" w:cs="宋体"/>
          <w:bCs/>
          <w:kern w:val="2"/>
          <w:sz w:val="21"/>
          <w:szCs w:val="21"/>
          <w:lang w:eastAsia="zh-CN"/>
        </w:rPr>
        <w:t>）能力目标：具备自我开展体育健康卫生知识的学习利用能力；能基本掌握课堂学习到的体育运动技能并运用到课余体育锻炼中；能准确、客观了解、评价自己的身体状况，不断增强自身体质；能够自我编制合理、可行的锻炼计划，科学开展体育锻炼，树立终身体育意识和自觉遵守交通法规的思想。</w:t>
      </w:r>
    </w:p>
    <w:p w14:paraId="7EBC502A">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
          <w:kern w:val="2"/>
          <w:sz w:val="21"/>
          <w:szCs w:val="21"/>
          <w:lang w:eastAsia="zh-CN"/>
        </w:rPr>
      </w:pPr>
      <w:r>
        <w:rPr>
          <w:rFonts w:hint="eastAsia" w:ascii="宋体" w:hAnsi="宋体" w:eastAsia="宋体" w:cs="宋体"/>
          <w:bCs/>
          <w:kern w:val="2"/>
          <w:sz w:val="21"/>
          <w:szCs w:val="21"/>
          <w:lang w:eastAsia="zh-CN"/>
        </w:rPr>
        <w:t>（</w:t>
      </w:r>
      <w:r>
        <w:rPr>
          <w:rFonts w:ascii="宋体" w:hAnsi="宋体" w:eastAsia="宋体" w:cs="宋体"/>
          <w:bCs/>
          <w:kern w:val="2"/>
          <w:sz w:val="21"/>
          <w:szCs w:val="21"/>
          <w:lang w:eastAsia="zh-CN"/>
        </w:rPr>
        <w:t>3</w:t>
      </w:r>
      <w:r>
        <w:rPr>
          <w:rFonts w:hint="eastAsia" w:ascii="宋体" w:hAnsi="宋体" w:eastAsia="宋体" w:cs="宋体"/>
          <w:bCs/>
          <w:kern w:val="2"/>
          <w:sz w:val="21"/>
          <w:szCs w:val="21"/>
          <w:lang w:eastAsia="zh-CN"/>
        </w:rPr>
        <w:t>）素质目标：增强学生的爱国主义、集体主义精神，培养学生团结、互助、拼搏意识，具备应对困难、挫折的能力。具备正确的体育价值观和健康观，具备较强的身体素质和强健体魄，树立“健康第一”思想。</w:t>
      </w:r>
      <w:r>
        <w:rPr>
          <w:rFonts w:hint="eastAsia" w:ascii="宋体" w:hAnsi="宋体" w:eastAsia="宋体" w:cs="宋体"/>
          <w:bCs/>
          <w:kern w:val="2"/>
          <w:sz w:val="21"/>
          <w:szCs w:val="21"/>
          <w:lang w:eastAsia="zh-CN"/>
        </w:rPr>
        <w:cr/>
      </w:r>
      <w:r>
        <w:rPr>
          <w:rFonts w:hint="eastAsia" w:ascii="宋体" w:hAnsi="宋体" w:cs="宋体"/>
          <w:bCs/>
          <w:kern w:val="2"/>
          <w:sz w:val="21"/>
          <w:szCs w:val="21"/>
          <w:lang w:val="en-US" w:eastAsia="zh-CN"/>
        </w:rPr>
        <w:t xml:space="preserve">    </w:t>
      </w:r>
      <w:r>
        <w:rPr>
          <w:rFonts w:hint="eastAsia" w:ascii="宋体" w:hAnsi="宋体" w:eastAsia="宋体" w:cs="宋体"/>
          <w:b/>
          <w:kern w:val="2"/>
          <w:sz w:val="21"/>
          <w:szCs w:val="21"/>
          <w:lang w:eastAsia="zh-CN"/>
        </w:rPr>
        <w:t>主要内容：</w:t>
      </w:r>
    </w:p>
    <w:p w14:paraId="3C868D93">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Cs/>
          <w:kern w:val="2"/>
          <w:sz w:val="21"/>
          <w:szCs w:val="21"/>
          <w:lang w:eastAsia="zh-CN"/>
        </w:rPr>
      </w:pPr>
      <w:bookmarkStart w:id="16" w:name="_Hlk204683974"/>
      <w:r>
        <w:rPr>
          <w:rFonts w:hint="eastAsia" w:ascii="宋体" w:hAnsi="宋体" w:eastAsia="宋体" w:cs="宋体"/>
          <w:bCs/>
          <w:kern w:val="2"/>
          <w:sz w:val="21"/>
          <w:szCs w:val="21"/>
          <w:lang w:eastAsia="zh-CN"/>
        </w:rPr>
        <w:t>（1）</w:t>
      </w:r>
      <w:bookmarkEnd w:id="16"/>
      <w:r>
        <w:rPr>
          <w:rFonts w:hint="eastAsia" w:ascii="宋体" w:hAnsi="宋体" w:eastAsia="宋体" w:cs="宋体"/>
          <w:bCs/>
          <w:kern w:val="2"/>
          <w:sz w:val="21"/>
          <w:szCs w:val="21"/>
          <w:lang w:eastAsia="zh-CN"/>
        </w:rPr>
        <w:t>第一学期的学生体育运动技能学习内容均为二十六式陈式太极拳，并辅以健康体育理论知识、身体素质练习及校园跑活动；（2）第二、三、四学期的学生根据自己的身体条件、运动基础和兴趣、爱好选择专项上课。教学内容以学生所选运动项目为主，目前为学生提供的运动项目包括：篮球、足球、排球、气排球、田径、羽毛球、乒乓球、网球、武术、跆拳道、太极扇、太极剑、健美操、轮滑、体育舞蹈、排舞、毽球等。</w:t>
      </w:r>
    </w:p>
    <w:p w14:paraId="3B33A7D0">
      <w:pPr>
        <w:keepNext w:val="0"/>
        <w:keepLines w:val="0"/>
        <w:pageBreakBefore w:val="0"/>
        <w:widowControl w:val="0"/>
        <w:kinsoku/>
        <w:wordWrap/>
        <w:overflowPunct/>
        <w:topLinePunct w:val="0"/>
        <w:autoSpaceDN/>
        <w:bidi w:val="0"/>
        <w:adjustRightInd w:val="0"/>
        <w:snapToGrid w:val="0"/>
        <w:spacing w:beforeAutospacing="0" w:afterAutospacing="0" w:line="400" w:lineRule="exact"/>
        <w:ind w:right="0" w:firstLine="422" w:firstLineChars="200"/>
        <w:textAlignment w:val="auto"/>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rPr>
        <w:t>教学要求：</w:t>
      </w:r>
    </w:p>
    <w:p w14:paraId="0F1AB4A1">
      <w:pPr>
        <w:keepNext w:val="0"/>
        <w:keepLines w:val="0"/>
        <w:pageBreakBefore w:val="0"/>
        <w:widowControl w:val="0"/>
        <w:numPr>
          <w:ilvl w:val="0"/>
          <w:numId w:val="0"/>
        </w:numPr>
        <w:kinsoku/>
        <w:wordWrap/>
        <w:overflowPunct/>
        <w:topLinePunct w:val="0"/>
        <w:autoSpaceDN/>
        <w:bidi w:val="0"/>
        <w:adjustRightInd w:val="0"/>
        <w:snapToGrid w:val="0"/>
        <w:spacing w:beforeAutospacing="0" w:afterAutospacing="0" w:line="400" w:lineRule="exact"/>
        <w:ind w:right="0" w:rightChars="0" w:firstLine="420" w:firstLineChars="200"/>
        <w:textAlignment w:val="auto"/>
        <w:rPr>
          <w:rFonts w:hint="eastAsia" w:ascii="宋体" w:hAnsi="宋体" w:eastAsia="宋体" w:cs="宋体"/>
          <w:bCs/>
          <w:kern w:val="2"/>
          <w:sz w:val="21"/>
          <w:szCs w:val="21"/>
          <w:lang w:eastAsia="zh-CN"/>
        </w:rPr>
      </w:pPr>
      <w:r>
        <w:rPr>
          <w:rFonts w:hint="eastAsia" w:ascii="宋体" w:hAnsi="宋体" w:cs="宋体"/>
          <w:bCs/>
          <w:kern w:val="2"/>
          <w:sz w:val="21"/>
          <w:szCs w:val="21"/>
          <w:lang w:eastAsia="zh-CN"/>
        </w:rPr>
        <w:t>（</w:t>
      </w:r>
      <w:r>
        <w:rPr>
          <w:rFonts w:hint="eastAsia" w:ascii="宋体" w:hAnsi="宋体" w:cs="宋体"/>
          <w:bCs/>
          <w:kern w:val="2"/>
          <w:sz w:val="21"/>
          <w:szCs w:val="21"/>
          <w:lang w:val="en-US" w:eastAsia="zh-CN"/>
        </w:rPr>
        <w:t>1</w:t>
      </w:r>
      <w:r>
        <w:rPr>
          <w:rFonts w:hint="eastAsia" w:ascii="宋体" w:hAnsi="宋体" w:cs="宋体"/>
          <w:bCs/>
          <w:kern w:val="2"/>
          <w:sz w:val="21"/>
          <w:szCs w:val="21"/>
          <w:lang w:eastAsia="zh-CN"/>
        </w:rPr>
        <w:t>）</w:t>
      </w:r>
      <w:r>
        <w:rPr>
          <w:rFonts w:hint="eastAsia" w:ascii="宋体" w:hAnsi="宋体" w:eastAsia="宋体" w:cs="宋体"/>
          <w:bCs/>
          <w:kern w:val="2"/>
          <w:sz w:val="21"/>
          <w:szCs w:val="21"/>
          <w:lang w:eastAsia="zh-CN"/>
        </w:rPr>
        <w:t>教师要求：熟练掌握二十六式陈式太极拳相关理论与技能，熟悉所教体育运动技能课程的技术知识和运动技能，熟练掌握科学、合理的体育课堂教学方式、方法，掌握扎实的体育运动理论知识和健康卫生知识，具备较高职业素养高和教育教学能力。</w:t>
      </w:r>
    </w:p>
    <w:p w14:paraId="34A86B4A">
      <w:pPr>
        <w:keepNext w:val="0"/>
        <w:keepLines w:val="0"/>
        <w:pageBreakBefore w:val="0"/>
        <w:widowControl w:val="0"/>
        <w:numPr>
          <w:ilvl w:val="0"/>
          <w:numId w:val="0"/>
        </w:numPr>
        <w:kinsoku/>
        <w:wordWrap/>
        <w:overflowPunct/>
        <w:topLinePunct w:val="0"/>
        <w:autoSpaceDN/>
        <w:bidi w:val="0"/>
        <w:adjustRightInd w:val="0"/>
        <w:snapToGrid w:val="0"/>
        <w:spacing w:beforeAutospacing="0" w:afterAutospacing="0" w:line="400" w:lineRule="exact"/>
        <w:ind w:right="0" w:rightChars="0" w:firstLine="420" w:firstLineChars="200"/>
        <w:textAlignment w:val="auto"/>
        <w:rPr>
          <w:rFonts w:hint="eastAsia" w:ascii="宋体" w:hAnsi="宋体" w:eastAsia="宋体" w:cs="宋体"/>
          <w:bCs/>
          <w:kern w:val="2"/>
          <w:sz w:val="21"/>
          <w:szCs w:val="21"/>
          <w:lang w:eastAsia="zh-CN"/>
        </w:rPr>
      </w:pPr>
      <w:r>
        <w:rPr>
          <w:rFonts w:hint="eastAsia" w:ascii="宋体" w:hAnsi="宋体" w:cs="宋体"/>
          <w:bCs/>
          <w:kern w:val="2"/>
          <w:sz w:val="21"/>
          <w:szCs w:val="21"/>
          <w:lang w:eastAsia="zh-CN"/>
        </w:rPr>
        <w:t>（</w:t>
      </w:r>
      <w:r>
        <w:rPr>
          <w:rFonts w:hint="eastAsia" w:ascii="宋体" w:hAnsi="宋体" w:cs="宋体"/>
          <w:bCs/>
          <w:kern w:val="2"/>
          <w:sz w:val="21"/>
          <w:szCs w:val="21"/>
          <w:lang w:val="en-US" w:eastAsia="zh-CN"/>
        </w:rPr>
        <w:t>2</w:t>
      </w:r>
      <w:r>
        <w:rPr>
          <w:rFonts w:hint="eastAsia" w:ascii="宋体" w:hAnsi="宋体" w:cs="宋体"/>
          <w:bCs/>
          <w:kern w:val="2"/>
          <w:sz w:val="21"/>
          <w:szCs w:val="21"/>
          <w:lang w:eastAsia="zh-CN"/>
        </w:rPr>
        <w:t>）</w:t>
      </w:r>
      <w:r>
        <w:rPr>
          <w:rFonts w:hint="eastAsia" w:ascii="宋体" w:hAnsi="宋体" w:eastAsia="宋体" w:cs="宋体"/>
          <w:bCs/>
          <w:kern w:val="2"/>
          <w:sz w:val="21"/>
          <w:szCs w:val="21"/>
          <w:lang w:eastAsia="zh-CN"/>
        </w:rPr>
        <w:t>教学条件：室内理论课拥有多媒体等辅助课件,实践课在体育馆或室外相应体育运动场地，体育馆内拥有教学所需的灯光设备、运动器材和运动场地，室外体育场地及运动器材能满足体育课堂教学需要。</w:t>
      </w:r>
    </w:p>
    <w:p w14:paraId="49D00E44">
      <w:pPr>
        <w:keepNext w:val="0"/>
        <w:keepLines w:val="0"/>
        <w:pageBreakBefore w:val="0"/>
        <w:widowControl w:val="0"/>
        <w:numPr>
          <w:ilvl w:val="0"/>
          <w:numId w:val="0"/>
        </w:numPr>
        <w:kinsoku/>
        <w:wordWrap/>
        <w:overflowPunct/>
        <w:topLinePunct w:val="0"/>
        <w:autoSpaceDN/>
        <w:bidi w:val="0"/>
        <w:adjustRightInd w:val="0"/>
        <w:snapToGrid w:val="0"/>
        <w:spacing w:beforeAutospacing="0" w:afterAutospacing="0" w:line="400" w:lineRule="exact"/>
        <w:ind w:right="0" w:rightChars="0" w:firstLine="420" w:firstLineChars="200"/>
        <w:textAlignment w:val="auto"/>
        <w:rPr>
          <w:rFonts w:hint="eastAsia" w:ascii="宋体" w:hAnsi="宋体" w:eastAsia="宋体" w:cs="宋体"/>
          <w:bCs/>
          <w:kern w:val="2"/>
          <w:sz w:val="21"/>
          <w:szCs w:val="21"/>
          <w:lang w:eastAsia="zh-CN"/>
        </w:rPr>
      </w:pPr>
      <w:r>
        <w:rPr>
          <w:rFonts w:hint="eastAsia" w:ascii="宋体" w:hAnsi="宋体" w:cs="宋体"/>
          <w:bCs/>
          <w:kern w:val="2"/>
          <w:sz w:val="21"/>
          <w:szCs w:val="21"/>
          <w:lang w:eastAsia="zh-CN"/>
        </w:rPr>
        <w:t>（</w:t>
      </w:r>
      <w:r>
        <w:rPr>
          <w:rFonts w:hint="eastAsia" w:ascii="宋体" w:hAnsi="宋体" w:cs="宋体"/>
          <w:bCs/>
          <w:kern w:val="2"/>
          <w:sz w:val="21"/>
          <w:szCs w:val="21"/>
          <w:lang w:val="en-US" w:eastAsia="zh-CN"/>
        </w:rPr>
        <w:t>3</w:t>
      </w:r>
      <w:r>
        <w:rPr>
          <w:rFonts w:hint="eastAsia" w:ascii="宋体" w:hAnsi="宋体" w:cs="宋体"/>
          <w:bCs/>
          <w:kern w:val="2"/>
          <w:sz w:val="21"/>
          <w:szCs w:val="21"/>
          <w:lang w:eastAsia="zh-CN"/>
        </w:rPr>
        <w:t>）</w:t>
      </w:r>
      <w:r>
        <w:rPr>
          <w:rFonts w:hint="eastAsia" w:ascii="宋体" w:hAnsi="宋体" w:eastAsia="宋体" w:cs="宋体"/>
          <w:bCs/>
          <w:kern w:val="2"/>
          <w:sz w:val="21"/>
          <w:szCs w:val="21"/>
          <w:lang w:eastAsia="zh-CN"/>
        </w:rPr>
        <w:t>教学方法：语言法、示范法、完整教学法、分解教学法、预防和纠正错误动作法、游戏练习法、比赛练习法、综合练习法、循环练习法、重复练习法、变换练习法等。</w:t>
      </w:r>
    </w:p>
    <w:p w14:paraId="2954D322">
      <w:pPr>
        <w:keepNext w:val="0"/>
        <w:keepLines w:val="0"/>
        <w:pageBreakBefore w:val="0"/>
        <w:widowControl w:val="0"/>
        <w:kinsoku/>
        <w:wordWrap/>
        <w:overflowPunct/>
        <w:topLinePunct w:val="0"/>
        <w:autoSpaceDN/>
        <w:bidi w:val="0"/>
        <w:adjustRightInd w:val="0"/>
        <w:snapToGrid w:val="0"/>
        <w:spacing w:beforeAutospacing="0" w:afterAutospacing="0" w:line="400" w:lineRule="exact"/>
        <w:ind w:right="0" w:firstLine="420" w:firstLineChars="200"/>
        <w:textAlignment w:val="auto"/>
        <w:rPr>
          <w:rFonts w:hint="eastAsia" w:ascii="宋体" w:hAnsi="宋体" w:eastAsia="宋体" w:cs="宋体"/>
          <w:bCs/>
          <w:kern w:val="2"/>
          <w:sz w:val="21"/>
          <w:szCs w:val="21"/>
          <w:lang w:eastAsia="zh-CN"/>
        </w:rPr>
      </w:pPr>
      <w:r>
        <w:rPr>
          <w:rFonts w:hint="eastAsia" w:ascii="宋体" w:hAnsi="宋体" w:eastAsia="宋体" w:cs="宋体"/>
          <w:bCs/>
          <w:kern w:val="2"/>
          <w:sz w:val="21"/>
          <w:szCs w:val="21"/>
          <w:lang w:eastAsia="zh-CN"/>
        </w:rPr>
        <w:t>（4）考核评价：体育课程考核采取过程性考核与</w:t>
      </w:r>
      <w:bookmarkStart w:id="17" w:name="_Hlk204686324"/>
      <w:r>
        <w:rPr>
          <w:rFonts w:hint="eastAsia" w:ascii="宋体" w:hAnsi="宋体" w:eastAsia="宋体" w:cs="宋体"/>
          <w:bCs/>
          <w:kern w:val="2"/>
          <w:sz w:val="21"/>
          <w:szCs w:val="21"/>
          <w:lang w:eastAsia="zh-CN"/>
        </w:rPr>
        <w:t>终结性考核</w:t>
      </w:r>
      <w:bookmarkEnd w:id="17"/>
      <w:r>
        <w:rPr>
          <w:rFonts w:hint="eastAsia" w:ascii="宋体" w:hAnsi="宋体" w:eastAsia="宋体" w:cs="宋体"/>
          <w:bCs/>
          <w:kern w:val="2"/>
          <w:sz w:val="21"/>
          <w:szCs w:val="21"/>
          <w:lang w:eastAsia="zh-CN"/>
        </w:rPr>
        <w:t>相结合，课内、课外（校园跑）相结合的方式，过程考核成绩占比20%，综合考核成绩占比80%，总分为100分。过程考核包括：课堂测验、课堂学习态度、课堂练习及进步情况等。终结性考核包括一般身体素质、专项能力发展所需的专项素质、专项运动技能。</w:t>
      </w:r>
    </w:p>
    <w:p w14:paraId="61E68017">
      <w:pPr>
        <w:keepNext w:val="0"/>
        <w:keepLines w:val="0"/>
        <w:pageBreakBefore w:val="0"/>
        <w:wordWrap/>
        <w:topLinePunct w:val="0"/>
        <w:bidi w:val="0"/>
        <w:adjustRightInd w:val="0"/>
        <w:snapToGrid w:val="0"/>
        <w:spacing w:line="400" w:lineRule="exact"/>
        <w:ind w:firstLine="422" w:firstLineChars="200"/>
        <w:rPr>
          <w:rFonts w:ascii="Times New Roman" w:hAnsi="Times New Roman" w:cs="宋体"/>
          <w:b/>
          <w:szCs w:val="21"/>
        </w:rPr>
      </w:pPr>
      <w:r>
        <w:rPr>
          <w:rFonts w:hint="eastAsia" w:ascii="Times New Roman" w:hAnsi="Times New Roman" w:cs="宋体"/>
          <w:b/>
          <w:szCs w:val="21"/>
        </w:rPr>
        <w:t>1</w:t>
      </w:r>
      <w:r>
        <w:rPr>
          <w:rFonts w:hint="eastAsia" w:ascii="Times New Roman" w:hAnsi="Times New Roman" w:cs="宋体"/>
          <w:b/>
          <w:szCs w:val="21"/>
          <w:lang w:val="en-US" w:eastAsia="zh-CN"/>
        </w:rPr>
        <w:t>1</w:t>
      </w:r>
      <w:r>
        <w:rPr>
          <w:rFonts w:hint="eastAsia" w:ascii="Times New Roman" w:hAnsi="Times New Roman" w:cs="宋体"/>
          <w:b/>
          <w:szCs w:val="21"/>
        </w:rPr>
        <w:t>.信息技术与人工智能基础</w:t>
      </w:r>
    </w:p>
    <w:p w14:paraId="1BBC6DA3">
      <w:pPr>
        <w:keepNext w:val="0"/>
        <w:keepLines w:val="0"/>
        <w:pageBreakBefore w:val="0"/>
        <w:wordWrap/>
        <w:topLinePunct w:val="0"/>
        <w:bidi w:val="0"/>
        <w:adjustRightInd w:val="0"/>
        <w:snapToGrid w:val="0"/>
        <w:spacing w:line="400" w:lineRule="exact"/>
        <w:ind w:firstLine="422" w:firstLineChars="200"/>
        <w:rPr>
          <w:rFonts w:hint="eastAsia" w:ascii="Times New Roman" w:hAnsi="Times New Roman" w:cs="宋体"/>
          <w:b/>
          <w:szCs w:val="21"/>
        </w:rPr>
      </w:pPr>
      <w:r>
        <w:rPr>
          <w:rFonts w:hint="eastAsia" w:ascii="Times New Roman" w:hAnsi="Times New Roman" w:cs="宋体"/>
          <w:b/>
          <w:szCs w:val="21"/>
        </w:rPr>
        <w:t>课程目标：</w:t>
      </w:r>
    </w:p>
    <w:p w14:paraId="307A750E">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信息技术与人工智能基础是面向全校各专科专业学生开设的通识必修课程。本课程主要介绍计算机基础知识、Office应用、人工智能基础、关键技术及应用。通过本课程的理论学习，使学生具备如下知识和能力：</w:t>
      </w:r>
    </w:p>
    <w:p w14:paraId="73A390FD">
      <w:pPr>
        <w:pStyle w:val="24"/>
        <w:keepNext w:val="0"/>
        <w:keepLines w:val="0"/>
        <w:pageBreakBefore w:val="0"/>
        <w:wordWrap/>
        <w:topLinePunct w:val="0"/>
        <w:bidi w:val="0"/>
        <w:spacing w:line="400" w:lineRule="exact"/>
        <w:ind w:right="102"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了解基本的计算机知识和人工智能发展历史、关键技术，深刻认识我国在信息科技领域取得的巨大成就与面临的机遇挑战；系统掌握信息技术与人工智能（概念、原理、技术流派）的核心基础知识，并深刻理解其在交通领域（如自动驾驶、智慧物流、车联网、北斗导航）的关键应用、国家战略布局以及伴随的伦理挑战与社会责任。</w:t>
      </w:r>
    </w:p>
    <w:p w14:paraId="5593272D">
      <w:pPr>
        <w:pStyle w:val="24"/>
        <w:keepNext w:val="0"/>
        <w:keepLines w:val="0"/>
        <w:pageBreakBefore w:val="0"/>
        <w:wordWrap/>
        <w:topLinePunct w:val="0"/>
        <w:bidi w:val="0"/>
        <w:spacing w:line="400" w:lineRule="exact"/>
        <w:ind w:right="102"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培养学生熟练运用信息技术工具（办公软件、信息检索）、掌握基础编程与数据处理技能、初步应用与评估人工智能解决方案的能力，并着重提升其在交通场景下分析问题、批判性评估技术方案、融合跨学科知识以及强化信息安全与数据安全意识的实践能力。</w:t>
      </w:r>
    </w:p>
    <w:p w14:paraId="5AA72F49">
      <w:pPr>
        <w:pStyle w:val="24"/>
        <w:keepNext w:val="0"/>
        <w:keepLines w:val="0"/>
        <w:pageBreakBefore w:val="0"/>
        <w:wordWrap/>
        <w:topLinePunct w:val="0"/>
        <w:bidi w:val="0"/>
        <w:spacing w:line="400" w:lineRule="exact"/>
        <w:ind w:right="102"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培养学生在学习和运用信息技术、人工智能解决交通问题时所需的严谨求实、精益求精的态度，强调系统可靠性、数据准确性在交通应用中的极端重要性。树立诚信意识，尊重知识产权，遵守学术规范和职业道德。</w:t>
      </w:r>
    </w:p>
    <w:p w14:paraId="76B4C68B">
      <w:pPr>
        <w:pStyle w:val="24"/>
        <w:keepNext w:val="0"/>
        <w:keepLines w:val="0"/>
        <w:pageBreakBefore w:val="0"/>
        <w:wordWrap/>
        <w:topLinePunct w:val="0"/>
        <w:bidi w:val="0"/>
        <w:spacing w:line="400" w:lineRule="exact"/>
        <w:ind w:right="102" w:firstLine="422" w:firstLineChars="200"/>
        <w:rPr>
          <w:rFonts w:ascii="Times New Roman" w:hAnsi="Times New Roman"/>
          <w:b/>
          <w:lang w:eastAsia="zh-CN"/>
        </w:rPr>
      </w:pPr>
      <w:r>
        <w:rPr>
          <w:rFonts w:hint="eastAsia" w:ascii="Times New Roman" w:hAnsi="Times New Roman"/>
          <w:b/>
          <w:lang w:eastAsia="zh-CN"/>
        </w:rPr>
        <w:t>主要内容：</w:t>
      </w:r>
    </w:p>
    <w:p w14:paraId="75BE5C0F">
      <w:pPr>
        <w:keepNext w:val="0"/>
        <w:keepLines w:val="0"/>
        <w:pageBreakBefore w:val="0"/>
        <w:tabs>
          <w:tab w:val="left" w:pos="4859"/>
        </w:tabs>
        <w:wordWrap/>
        <w:topLinePunct w:val="0"/>
        <w:bidi w:val="0"/>
        <w:adjustRightInd w:val="0"/>
        <w:snapToGrid w:val="0"/>
        <w:spacing w:line="400" w:lineRule="exact"/>
        <w:ind w:firstLine="420" w:firstLineChars="200"/>
        <w:rPr>
          <w:rFonts w:ascii="Times New Roman" w:hAnsi="Times New Roman"/>
          <w:szCs w:val="22"/>
        </w:rPr>
      </w:pPr>
      <w:r>
        <w:rPr>
          <w:rFonts w:hint="eastAsia" w:ascii="Times New Roman" w:hAnsi="Times New Roman"/>
          <w:szCs w:val="21"/>
        </w:rPr>
        <w:t>（1）了解信息技术的发展历史、掌握数制转换等内容；（2）</w:t>
      </w:r>
      <w:r>
        <w:rPr>
          <w:rFonts w:hint="eastAsia" w:ascii="Times New Roman" w:hAnsi="Times New Roman"/>
        </w:rPr>
        <w:t>Office应用：使学生熟练掌握word、Excel、PPT使用方法和实际应用；（3）</w:t>
      </w:r>
      <w:r>
        <w:rPr>
          <w:rFonts w:hint="eastAsia" w:ascii="Times New Roman" w:hAnsi="Times New Roman"/>
          <w:szCs w:val="21"/>
        </w:rPr>
        <w:t>了解人工智能的基本概念、发展历史，理解人工智能伦理问题；了解人工智能知识图谱、自然语言处理、智能语音、计算机视觉等关键技术；了解大模型的基本概念、分类和应用案例；了解新一代人工智能的生态和应用领域；</w:t>
      </w:r>
      <w:r>
        <w:rPr>
          <w:rFonts w:hint="eastAsia" w:ascii="Times New Roman" w:hAnsi="Times New Roman"/>
        </w:rPr>
        <w:t>（4）人工智能关键技术及其应用：使学生了解知识图谱的基本概念、构建方法和应用领域；理解机器学习的分类，常用机器学习算法，神经网络和深度学习；理解自然语言处理的基本概念、语言模型和应用案例；掌握智能语音的基本概念、语音识别技术、语音合成技术、语智能语音应用案例；理解计算机视觉的基本概念、核心方法和应用案例；（5）</w:t>
      </w:r>
      <w:r>
        <w:rPr>
          <w:rFonts w:hint="eastAsia" w:ascii="Times New Roman" w:hAnsi="Times New Roman"/>
          <w:szCs w:val="22"/>
        </w:rPr>
        <w:t>大模型及其应用：使学生了解大模型的定义和分类；理解大模型的工作原理；理解重要的大模型架构；掌握大模型的实践应用。了解提示词工程，会使用提示词完成的设计和优化。</w:t>
      </w:r>
    </w:p>
    <w:p w14:paraId="737120D6">
      <w:pPr>
        <w:keepNext w:val="0"/>
        <w:keepLines w:val="0"/>
        <w:pageBreakBefore w:val="0"/>
        <w:wordWrap/>
        <w:topLinePunct w:val="0"/>
        <w:bidi w:val="0"/>
        <w:spacing w:line="400" w:lineRule="exact"/>
        <w:ind w:firstLine="422" w:firstLineChars="200"/>
        <w:rPr>
          <w:rFonts w:ascii="Times New Roman" w:hAnsi="Times New Roman"/>
          <w:b/>
          <w:bCs/>
          <w:szCs w:val="22"/>
        </w:rPr>
      </w:pPr>
      <w:r>
        <w:rPr>
          <w:rFonts w:hint="eastAsia" w:ascii="Times New Roman" w:hAnsi="Times New Roman"/>
          <w:b/>
          <w:bCs/>
          <w:szCs w:val="22"/>
        </w:rPr>
        <w:t>教学要求：</w:t>
      </w:r>
    </w:p>
    <w:p w14:paraId="233831BB">
      <w:pPr>
        <w:keepNext w:val="0"/>
        <w:keepLines w:val="0"/>
        <w:pageBreakBefore w:val="0"/>
        <w:tabs>
          <w:tab w:val="left" w:pos="4859"/>
        </w:tabs>
        <w:wordWrap/>
        <w:topLinePunct w:val="0"/>
        <w:bidi w:val="0"/>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（1）教师要求：熟悉人工智能发展史，熟练掌握常用的人工智能体，具备较强的office办公软件操作水平。</w:t>
      </w:r>
    </w:p>
    <w:p w14:paraId="6463C330">
      <w:pPr>
        <w:keepNext w:val="0"/>
        <w:keepLines w:val="0"/>
        <w:pageBreakBefore w:val="0"/>
        <w:tabs>
          <w:tab w:val="left" w:pos="4859"/>
        </w:tabs>
        <w:wordWrap/>
        <w:topLinePunct w:val="0"/>
        <w:bidi w:val="0"/>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（2）教学条件：多媒体辅助课件,实践课在机房完成（包括理论教学及实践所需的所有需求，包含软硬件）</w:t>
      </w:r>
    </w:p>
    <w:p w14:paraId="2965ABC0">
      <w:pPr>
        <w:keepNext w:val="0"/>
        <w:keepLines w:val="0"/>
        <w:pageBreakBefore w:val="0"/>
        <w:tabs>
          <w:tab w:val="left" w:pos="4859"/>
        </w:tabs>
        <w:wordWrap/>
        <w:topLinePunct w:val="0"/>
        <w:bidi w:val="0"/>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3）教学方法：“理论讲授+演示操作+任务驱动+项目实践+案例研讨”相结合的方式，充分利用在线教学平台（如Moodle、超星、智慧树等）提供学习资源、布置作业、进行测验和讨论，鼓励小组合作完成综合性实践任务（如制作一份包含数据分析的交通调研报告PPT），培养团队协作能力；认真组织课堂讨论，围绕AI伦理、交通领域的数字化应用等话题进行交流。</w:t>
      </w:r>
    </w:p>
    <w:p w14:paraId="37DC0466">
      <w:pPr>
        <w:keepNext w:val="0"/>
        <w:keepLines w:val="0"/>
        <w:pageBreakBefore w:val="0"/>
        <w:widowControl w:val="0"/>
        <w:kinsoku/>
        <w:wordWrap/>
        <w:overflowPunct/>
        <w:topLinePunct w:val="0"/>
        <w:autoSpaceDN/>
        <w:bidi w:val="0"/>
        <w:adjustRightInd w:val="0"/>
        <w:snapToGrid w:val="0"/>
        <w:spacing w:beforeAutospacing="0" w:afterAutospacing="0" w:line="400" w:lineRule="exact"/>
        <w:ind w:right="0" w:firstLine="420" w:firstLineChars="200"/>
        <w:textAlignment w:val="auto"/>
        <w:rPr>
          <w:rFonts w:hint="default" w:ascii="宋体" w:hAnsi="宋体" w:eastAsia="宋体" w:cs="宋体"/>
          <w:bCs/>
          <w:kern w:val="2"/>
          <w:sz w:val="21"/>
          <w:szCs w:val="21"/>
          <w:lang w:eastAsia="zh-CN"/>
        </w:rPr>
      </w:pPr>
      <w:r>
        <w:rPr>
          <w:rFonts w:hint="eastAsia" w:ascii="宋体" w:hAnsi="宋体" w:cs="宋体"/>
          <w:bCs/>
          <w:szCs w:val="21"/>
        </w:rPr>
        <w:t>（4）考核评价：平时成绩40%+期末考核60%。其中平时成绩包括平时考勤与课堂参与（20%）、上机操作作业（Office为主）（40%）、AI工具应用实践报告/作品（40%）。</w:t>
      </w:r>
    </w:p>
    <w:p w14:paraId="0E367DBD">
      <w:pPr>
        <w:keepNext w:val="0"/>
        <w:keepLines w:val="0"/>
        <w:pageBreakBefore w:val="0"/>
        <w:wordWrap/>
        <w:topLinePunct w:val="0"/>
        <w:bidi w:val="0"/>
        <w:adjustRightInd w:val="0"/>
        <w:snapToGrid w:val="0"/>
        <w:spacing w:line="400" w:lineRule="exact"/>
        <w:ind w:firstLine="422" w:firstLineChars="200"/>
        <w:rPr>
          <w:rFonts w:ascii="Times New Roman" w:hAnsi="Times New Roman" w:cs="宋体"/>
          <w:b/>
          <w:szCs w:val="21"/>
        </w:rPr>
      </w:pPr>
      <w:r>
        <w:rPr>
          <w:rFonts w:hint="eastAsia" w:ascii="Times New Roman" w:hAnsi="Times New Roman" w:cs="宋体"/>
          <w:b/>
          <w:szCs w:val="21"/>
        </w:rPr>
        <w:t>1</w:t>
      </w:r>
      <w:r>
        <w:rPr>
          <w:rFonts w:hint="eastAsia" w:ascii="Times New Roman" w:hAnsi="Times New Roman" w:cs="宋体"/>
          <w:b/>
          <w:szCs w:val="21"/>
          <w:lang w:val="en-US" w:eastAsia="zh-CN"/>
        </w:rPr>
        <w:t>2</w:t>
      </w:r>
      <w:r>
        <w:rPr>
          <w:rFonts w:hint="eastAsia" w:ascii="Times New Roman" w:hAnsi="Times New Roman" w:cs="宋体"/>
          <w:b/>
          <w:szCs w:val="21"/>
        </w:rPr>
        <w:t>.大学生职业生涯规划</w:t>
      </w:r>
    </w:p>
    <w:p w14:paraId="48141BF4">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课程目标：</w:t>
      </w:r>
      <w:bookmarkStart w:id="18" w:name="_Hlk68463921"/>
    </w:p>
    <w:bookmarkEnd w:id="18"/>
    <w:p w14:paraId="33313EDE">
      <w:pPr>
        <w:pStyle w:val="6"/>
        <w:keepNext w:val="0"/>
        <w:keepLines w:val="0"/>
        <w:pageBreakBefore w:val="0"/>
        <w:wordWrap/>
        <w:topLinePunct w:val="0"/>
        <w:bidi w:val="0"/>
        <w:spacing w:line="400" w:lineRule="exact"/>
        <w:ind w:firstLine="420"/>
        <w:rPr>
          <w:rFonts w:hint="eastAsia" w:ascii="宋体" w:hAnsi="宋体" w:eastAsia="宋体" w:cs="宋体"/>
          <w:spacing w:val="-4"/>
          <w:sz w:val="21"/>
          <w:szCs w:val="21"/>
        </w:rPr>
      </w:pPr>
      <w:r>
        <w:rPr>
          <w:rFonts w:hint="eastAsia" w:ascii="宋体" w:hAnsi="宋体" w:eastAsia="宋体" w:cs="宋体"/>
          <w:spacing w:val="-4"/>
          <w:sz w:val="21"/>
          <w:szCs w:val="21"/>
        </w:rPr>
        <w:t xml:space="preserve">（1）知识目标：了解职业发展的特点，较为清晰地认识自己的特性、职业的特性以及社会环境，交通强国战略背景下职业环境的变化趋势等；了解人生发展与职业生涯规划的重要关系；熟悉职业生涯规划的相关理论；掌握大学生职业生涯规划的步骤。 </w:t>
      </w:r>
    </w:p>
    <w:p w14:paraId="0EE58644">
      <w:pPr>
        <w:pStyle w:val="6"/>
        <w:keepNext w:val="0"/>
        <w:keepLines w:val="0"/>
        <w:pageBreakBefore w:val="0"/>
        <w:wordWrap/>
        <w:topLinePunct w:val="0"/>
        <w:bidi w:val="0"/>
        <w:spacing w:line="400" w:lineRule="exact"/>
        <w:ind w:firstLine="420"/>
        <w:rPr>
          <w:rFonts w:hint="eastAsia" w:ascii="宋体" w:hAnsi="宋体" w:eastAsia="宋体" w:cs="宋体"/>
          <w:spacing w:val="-4"/>
          <w:sz w:val="21"/>
          <w:szCs w:val="21"/>
        </w:rPr>
      </w:pPr>
      <w:r>
        <w:rPr>
          <w:rFonts w:hint="eastAsia" w:ascii="宋体" w:hAnsi="宋体" w:eastAsia="宋体" w:cs="宋体"/>
          <w:spacing w:val="-4"/>
          <w:sz w:val="21"/>
          <w:szCs w:val="21"/>
        </w:rPr>
        <w:t>（2）能力目标：掌握基于交通等行业特质的自我探索技能、信息搜索与管理技能、生涯决策技能等，掌握团队协作中的沟通技能，提升解决复杂问题的能力，具备交通类院校毕业生特有的职业竞争力。</w:t>
      </w:r>
    </w:p>
    <w:p w14:paraId="734A0244">
      <w:pPr>
        <w:pStyle w:val="6"/>
        <w:keepNext w:val="0"/>
        <w:keepLines w:val="0"/>
        <w:pageBreakBefore w:val="0"/>
        <w:wordWrap/>
        <w:topLinePunct w:val="0"/>
        <w:bidi w:val="0"/>
        <w:spacing w:line="400" w:lineRule="exact"/>
        <w:ind w:firstLine="420"/>
        <w:rPr>
          <w:rFonts w:hint="eastAsia"/>
          <w:spacing w:val="-4"/>
        </w:rPr>
      </w:pPr>
      <w:r>
        <w:rPr>
          <w:rFonts w:hint="eastAsia" w:ascii="宋体" w:hAnsi="宋体" w:eastAsia="宋体" w:cs="宋体"/>
          <w:spacing w:val="-4"/>
          <w:sz w:val="21"/>
          <w:szCs w:val="21"/>
        </w:rPr>
        <w:t>（3）素质目标：树立职业生涯发展的自主意识，树立积极正确的人生观、价值观、世界观和就业观，把个人发展与国家需要、社会发展相结合，确立职业概念和意识，为个人生涯发展和社会发展积极努力</w:t>
      </w:r>
      <w:r>
        <w:rPr>
          <w:rFonts w:hint="eastAsia"/>
          <w:spacing w:val="-4"/>
          <w:sz w:val="21"/>
          <w:szCs w:val="21"/>
        </w:rPr>
        <w:t>。</w:t>
      </w:r>
    </w:p>
    <w:p w14:paraId="6EB7084D">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r>
        <w:rPr>
          <w:rFonts w:hint="eastAsia" w:ascii="宋体" w:hAnsi="宋体" w:cs="宋体"/>
          <w:b/>
          <w:szCs w:val="21"/>
        </w:rPr>
        <w:t>主要内容：</w:t>
      </w:r>
    </w:p>
    <w:p w14:paraId="17323321">
      <w:pPr>
        <w:keepNext w:val="0"/>
        <w:keepLines w:val="0"/>
        <w:pageBreakBefore w:val="0"/>
        <w:wordWrap/>
        <w:topLinePunct w:val="0"/>
        <w:bidi w:val="0"/>
        <w:spacing w:line="400" w:lineRule="exact"/>
        <w:ind w:firstLine="404" w:firstLineChars="200"/>
        <w:rPr>
          <w:rFonts w:hint="eastAsia" w:ascii="宋体" w:hAnsi="宋体" w:eastAsia="宋体" w:cs="宋体"/>
          <w:spacing w:val="-4"/>
          <w:kern w:val="2"/>
          <w:sz w:val="21"/>
          <w:szCs w:val="24"/>
          <w:lang w:val="en-US" w:eastAsia="zh-CN" w:bidi="ar-SA"/>
        </w:rPr>
      </w:pPr>
      <w:r>
        <w:rPr>
          <w:rFonts w:hint="eastAsia" w:ascii="宋体" w:hAnsi="宋体" w:eastAsia="宋体" w:cs="宋体"/>
          <w:spacing w:val="-4"/>
          <w:kern w:val="2"/>
          <w:sz w:val="21"/>
          <w:szCs w:val="24"/>
          <w:lang w:val="en-US" w:eastAsia="zh-CN" w:bidi="ar-SA"/>
        </w:rPr>
        <w:t>（1）认识职业生涯规划；（2）自我认知；（3）职业认知；（4）生涯决策；（5）提升职业素养。</w:t>
      </w:r>
    </w:p>
    <w:p w14:paraId="7739749F">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教学要求：</w:t>
      </w:r>
    </w:p>
    <w:p w14:paraId="68598BCD">
      <w:pPr>
        <w:keepNext w:val="0"/>
        <w:keepLines w:val="0"/>
        <w:pageBreakBefore w:val="0"/>
        <w:wordWrap/>
        <w:topLinePunct w:val="0"/>
        <w:bidi w:val="0"/>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（1）教师要求：</w:t>
      </w:r>
      <w:r>
        <w:rPr>
          <w:rFonts w:ascii="宋体" w:hAnsi="宋体" w:cs="宋体"/>
          <w:bCs/>
          <w:szCs w:val="21"/>
        </w:rPr>
        <w:t>熟悉行业职业发展特征及人才需求趋势，具备职业生涯规划理论</w:t>
      </w:r>
      <w:r>
        <w:rPr>
          <w:rFonts w:hint="eastAsia" w:ascii="宋体" w:hAnsi="宋体" w:cs="宋体"/>
          <w:bCs/>
          <w:szCs w:val="21"/>
        </w:rPr>
        <w:t>知识</w:t>
      </w:r>
      <w:r>
        <w:rPr>
          <w:rFonts w:ascii="宋体" w:hAnsi="宋体" w:cs="宋体"/>
          <w:bCs/>
          <w:szCs w:val="21"/>
        </w:rPr>
        <w:t>和交通</w:t>
      </w:r>
      <w:r>
        <w:rPr>
          <w:rFonts w:hint="eastAsia" w:ascii="宋体" w:hAnsi="宋体" w:cs="宋体"/>
          <w:bCs/>
          <w:szCs w:val="21"/>
        </w:rPr>
        <w:t>行业</w:t>
      </w:r>
      <w:r>
        <w:rPr>
          <w:rFonts w:ascii="宋体" w:hAnsi="宋体" w:cs="宋体"/>
          <w:bCs/>
          <w:szCs w:val="21"/>
        </w:rPr>
        <w:t>职业咨询能力；掌握职业测评工具使用技能，能结合</w:t>
      </w:r>
      <w:r>
        <w:rPr>
          <w:rFonts w:hint="eastAsia" w:ascii="宋体" w:hAnsi="宋体" w:cs="宋体"/>
          <w:bCs/>
          <w:szCs w:val="21"/>
        </w:rPr>
        <w:t>车辆工程、</w:t>
      </w:r>
      <w:r>
        <w:rPr>
          <w:rFonts w:ascii="宋体" w:hAnsi="宋体" w:cs="宋体"/>
          <w:bCs/>
          <w:szCs w:val="21"/>
        </w:rPr>
        <w:t>交通</w:t>
      </w:r>
      <w:r>
        <w:rPr>
          <w:rFonts w:hint="eastAsia" w:ascii="宋体" w:hAnsi="宋体" w:cs="宋体"/>
          <w:bCs/>
          <w:szCs w:val="21"/>
        </w:rPr>
        <w:t>工程</w:t>
      </w:r>
      <w:r>
        <w:rPr>
          <w:rFonts w:ascii="宋体" w:hAnsi="宋体" w:cs="宋体"/>
          <w:bCs/>
          <w:szCs w:val="21"/>
        </w:rPr>
        <w:t>、物流</w:t>
      </w:r>
      <w:r>
        <w:rPr>
          <w:rFonts w:hint="eastAsia" w:ascii="宋体" w:hAnsi="宋体" w:cs="宋体"/>
          <w:bCs/>
          <w:szCs w:val="21"/>
        </w:rPr>
        <w:t>管理</w:t>
      </w:r>
      <w:r>
        <w:rPr>
          <w:rFonts w:ascii="宋体" w:hAnsi="宋体" w:cs="宋体"/>
          <w:bCs/>
          <w:szCs w:val="21"/>
        </w:rPr>
        <w:t>等专业特点开展个性化</w:t>
      </w:r>
      <w:r>
        <w:rPr>
          <w:rFonts w:hint="eastAsia" w:ascii="宋体" w:hAnsi="宋体" w:cs="宋体"/>
          <w:bCs/>
          <w:szCs w:val="21"/>
        </w:rPr>
        <w:t>生涯规划</w:t>
      </w:r>
      <w:r>
        <w:rPr>
          <w:rFonts w:ascii="宋体" w:hAnsi="宋体" w:cs="宋体"/>
          <w:bCs/>
          <w:szCs w:val="21"/>
        </w:rPr>
        <w:t>指导。</w:t>
      </w:r>
    </w:p>
    <w:p w14:paraId="4170F8B3">
      <w:pPr>
        <w:keepNext w:val="0"/>
        <w:keepLines w:val="0"/>
        <w:pageBreakBefore w:val="0"/>
        <w:wordWrap/>
        <w:topLinePunct w:val="0"/>
        <w:bidi w:val="0"/>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（2）教学条件：多媒体辅助课件, 线上教学平台，职业生涯与发展规划工具包等教具，实践课在多媒体教室、生涯咨询室、创业园区、校内外实践教学基地等多</w:t>
      </w:r>
      <w:r>
        <w:rPr>
          <w:rFonts w:ascii="宋体" w:hAnsi="宋体" w:cs="宋体"/>
          <w:bCs/>
          <w:szCs w:val="21"/>
        </w:rPr>
        <w:t>平台</w:t>
      </w:r>
      <w:r>
        <w:rPr>
          <w:rFonts w:hint="eastAsia" w:ascii="宋体" w:hAnsi="宋体" w:cs="宋体"/>
          <w:bCs/>
          <w:szCs w:val="21"/>
        </w:rPr>
        <w:t>进行，利用社会资源、外聘专家、成功校友、职场人物开展专题讲座、座谈等。</w:t>
      </w:r>
    </w:p>
    <w:p w14:paraId="008420CA">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（3）教学方法：本课程采用理论与实践相结合、讲授与训练相结合的方式进行。教学可采用课堂讲授、</w:t>
      </w:r>
      <w:r>
        <w:rPr>
          <w:spacing w:val="-4"/>
        </w:rPr>
        <w:t>交通</w:t>
      </w:r>
      <w:r>
        <w:rPr>
          <w:rFonts w:hint="eastAsia"/>
          <w:spacing w:val="-4"/>
        </w:rPr>
        <w:t>领域</w:t>
      </w:r>
      <w:r>
        <w:rPr>
          <w:rFonts w:hint="eastAsia" w:ascii="宋体" w:hAnsi="宋体" w:cs="宋体"/>
          <w:bCs/>
          <w:szCs w:val="21"/>
        </w:rPr>
        <w:t>典型案例分析、</w:t>
      </w:r>
      <w:r>
        <w:rPr>
          <w:spacing w:val="-4"/>
        </w:rPr>
        <w:t>轨道交通</w:t>
      </w:r>
      <w:r>
        <w:rPr>
          <w:rFonts w:hint="eastAsia"/>
          <w:spacing w:val="-4"/>
        </w:rPr>
        <w:t>运营管理等</w:t>
      </w:r>
      <w:r>
        <w:rPr>
          <w:rFonts w:hint="eastAsia" w:ascii="宋体" w:hAnsi="宋体" w:cs="宋体"/>
          <w:bCs/>
          <w:szCs w:val="21"/>
        </w:rPr>
        <w:t>情景模拟训练、小组讨论、社会调查、实习见习等方法。</w:t>
      </w:r>
    </w:p>
    <w:p w14:paraId="76E7D5D5">
      <w:pPr>
        <w:keepNext w:val="0"/>
        <w:keepLines w:val="0"/>
        <w:pageBreakBefore w:val="0"/>
        <w:wordWrap/>
        <w:topLinePunct w:val="0"/>
        <w:bidi w:val="0"/>
        <w:adjustRightInd w:val="0"/>
        <w:snapToGrid w:val="0"/>
        <w:spacing w:line="400" w:lineRule="exact"/>
        <w:ind w:firstLine="420" w:firstLineChars="200"/>
        <w:rPr>
          <w:rFonts w:hint="eastAsia" w:ascii="Times New Roman" w:hAnsi="Times New Roman" w:cs="宋体"/>
          <w:b/>
          <w:szCs w:val="21"/>
        </w:rPr>
      </w:pPr>
      <w:r>
        <w:rPr>
          <w:rFonts w:hint="eastAsia" w:ascii="宋体" w:hAnsi="宋体" w:cs="宋体"/>
          <w:bCs/>
          <w:szCs w:val="21"/>
        </w:rPr>
        <w:t>（4）考核评价：过程考核占40%+综合考核占60%。</w:t>
      </w:r>
    </w:p>
    <w:p w14:paraId="30F9ADFA">
      <w:pPr>
        <w:keepNext w:val="0"/>
        <w:keepLines w:val="0"/>
        <w:pageBreakBefore w:val="0"/>
        <w:wordWrap/>
        <w:topLinePunct w:val="0"/>
        <w:bidi w:val="0"/>
        <w:adjustRightInd w:val="0"/>
        <w:snapToGrid w:val="0"/>
        <w:spacing w:line="400" w:lineRule="exact"/>
        <w:ind w:firstLine="422" w:firstLineChars="200"/>
        <w:rPr>
          <w:rFonts w:hint="eastAsia" w:ascii="Times New Roman" w:hAnsi="Times New Roman" w:eastAsia="宋体" w:cs="宋体"/>
          <w:b/>
          <w:szCs w:val="21"/>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3</w:t>
      </w:r>
      <w:r>
        <w:rPr>
          <w:rFonts w:hint="eastAsia" w:ascii="Times New Roman" w:hAnsi="Times New Roman" w:eastAsia="宋体" w:cs="宋体"/>
          <w:b/>
          <w:szCs w:val="21"/>
        </w:rPr>
        <w:t>.创业基础</w:t>
      </w:r>
    </w:p>
    <w:p w14:paraId="67EC8831">
      <w:pPr>
        <w:pStyle w:val="24"/>
        <w:keepNext w:val="0"/>
        <w:keepLines w:val="0"/>
        <w:pageBreakBefore w:val="0"/>
        <w:wordWrap/>
        <w:topLinePunct w:val="0"/>
        <w:bidi w:val="0"/>
        <w:spacing w:line="400" w:lineRule="exact"/>
        <w:ind w:left="111" w:right="101" w:firstLine="422" w:firstLineChars="200"/>
        <w:rPr>
          <w:rFonts w:hint="eastAsia"/>
          <w:b/>
          <w:lang w:eastAsia="zh-CN"/>
        </w:rPr>
      </w:pPr>
      <w:r>
        <w:rPr>
          <w:rFonts w:hint="eastAsia"/>
          <w:b/>
          <w:lang w:eastAsia="zh-CN"/>
        </w:rPr>
        <w:t>课程目标：</w:t>
      </w:r>
    </w:p>
    <w:p w14:paraId="2D2D4AAD">
      <w:pPr>
        <w:pStyle w:val="24"/>
        <w:keepNext w:val="0"/>
        <w:keepLines w:val="0"/>
        <w:pageBreakBefore w:val="0"/>
        <w:wordWrap/>
        <w:topLinePunct w:val="0"/>
        <w:bidi w:val="0"/>
        <w:spacing w:line="400" w:lineRule="exact"/>
        <w:ind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）知识目标：了解创新创业的基本概念、流程和方法，掌握机会识别、商业模式设计、团队管理、融资策略等创新创业核心知识。</w:t>
      </w:r>
    </w:p>
    <w:p w14:paraId="6B8872B3">
      <w:pPr>
        <w:keepNext w:val="0"/>
        <w:keepLines w:val="0"/>
        <w:pageBreakBefore w:val="0"/>
        <w:wordWrap/>
        <w:topLinePunct w:val="0"/>
        <w:bidi w:val="0"/>
        <w:spacing w:line="400" w:lineRule="exact"/>
        <w:ind w:firstLine="420" w:firstLineChars="200"/>
        <w:rPr>
          <w:rFonts w:hint="eastAsia" w:ascii="宋体" w:hAnsi="宋体"/>
        </w:rPr>
      </w:pPr>
      <w:r>
        <w:rPr>
          <w:rFonts w:hint="eastAsia" w:ascii="宋体" w:hAnsi="宋体"/>
          <w:bCs/>
        </w:rPr>
        <w:t>（2）</w:t>
      </w:r>
      <w:r>
        <w:rPr>
          <w:rFonts w:hint="eastAsia"/>
          <w:bCs/>
        </w:rPr>
        <w:t>能力目标：掌握创新方法、机会识别、资源整合和风险应对能力，制定创业计划并进行可行性分析，</w:t>
      </w:r>
      <w:r>
        <w:rPr>
          <w:rFonts w:hint="eastAsia" w:ascii="宋体" w:hAnsi="宋体"/>
        </w:rPr>
        <w:t>熟悉新企业的开办流程与管理，提高创办和管理企业的综合素质与能力。</w:t>
      </w:r>
    </w:p>
    <w:p w14:paraId="48A0BD61">
      <w:pPr>
        <w:pStyle w:val="24"/>
        <w:keepNext w:val="0"/>
        <w:keepLines w:val="0"/>
        <w:pageBreakBefore w:val="0"/>
        <w:wordWrap/>
        <w:topLinePunct w:val="0"/>
        <w:bidi w:val="0"/>
        <w:spacing w:line="400" w:lineRule="exact"/>
        <w:ind w:firstLine="420" w:firstLineChars="200"/>
        <w:rPr>
          <w:rFonts w:hint="eastAsia"/>
          <w:bCs/>
          <w:lang w:eastAsia="zh-CN"/>
        </w:rPr>
      </w:pPr>
      <w:r>
        <w:rPr>
          <w:rFonts w:hint="eastAsia"/>
          <w:bCs/>
          <w:lang w:eastAsia="zh-CN"/>
        </w:rPr>
        <w:t>（3）素质目标：增强学生的社会责任感和团队协作精神，树立正确的创业价值观，培养吃苦耐劳、诚信守法的职业素养。将个人创业梦想与“工匠精神”“交通强国”等国家发展战略相结合，培养服务社会、奉献交通的使命担当，在创业过程中践行社会主义核心价值观。</w:t>
      </w:r>
    </w:p>
    <w:p w14:paraId="02A51DF5">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533DA961">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（1）创新与创业精神；（2）创新思维与机会识别；（3）风险管理；（4）团队组建与领导力；（5）商业模式设计；（6）创业计划与路演技巧；（7）新企业的开办。</w:t>
      </w:r>
    </w:p>
    <w:p w14:paraId="14527B8E">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3E0A33C3">
      <w:pPr>
        <w:keepNext w:val="0"/>
        <w:keepLines w:val="0"/>
        <w:pageBreakBefore w:val="0"/>
        <w:numPr>
          <w:ilvl w:val="0"/>
          <w:numId w:val="4"/>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具备扎实的创新创业理论知识和丰富的实践经验，能够结合学科前沿动态更新教学内容。同时，教师应具备较强的课堂组织能力，灵活运用多元化教学方法，激发学生的创新思维和创业热情。在能力素养方面，教师应保持开放的学习态度，积极关注创新创业领域的新趋势，并善于利用信息化教学工具提升课堂效果，指导学生完成创业计划并解决实际问题。</w:t>
      </w:r>
    </w:p>
    <w:p w14:paraId="0B0CB95E">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（2）教学条件：多媒体辅助课件，线上教学平台等，实践课在路演教室、创业园区、校内外实践教学基地等多</w:t>
      </w:r>
      <w:r>
        <w:rPr>
          <w:rFonts w:ascii="宋体" w:hAnsi="宋体" w:cs="宋体"/>
          <w:bCs/>
          <w:szCs w:val="21"/>
        </w:rPr>
        <w:t>平台</w:t>
      </w:r>
      <w:r>
        <w:rPr>
          <w:rFonts w:hint="eastAsia" w:ascii="宋体" w:hAnsi="宋体" w:cs="宋体"/>
          <w:bCs/>
          <w:szCs w:val="21"/>
        </w:rPr>
        <w:t>进行，利用社会资源、创业导师、成功校友、职场人物开展创业讲座、座谈等。</w:t>
      </w:r>
    </w:p>
    <w:p w14:paraId="24E32A3A">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（3）教学方法：本课程采用理论与实践相结合、讲授与训练相结合的方式进行。采用现场教学法、分组讨论法、案例教学法、情景模拟法和任务驱动法等。</w:t>
      </w:r>
    </w:p>
    <w:p w14:paraId="3AE69349">
      <w:pPr>
        <w:keepNext w:val="0"/>
        <w:keepLines w:val="0"/>
        <w:pageBreakBefore w:val="0"/>
        <w:wordWrap/>
        <w:topLinePunct w:val="0"/>
        <w:bidi w:val="0"/>
        <w:adjustRightInd w:val="0"/>
        <w:snapToGrid w:val="0"/>
        <w:spacing w:line="400" w:lineRule="exact"/>
        <w:ind w:firstLine="420" w:firstLineChars="200"/>
        <w:rPr>
          <w:rFonts w:hint="eastAsia" w:ascii="Times New Roman" w:hAnsi="Times New Roman" w:eastAsia="宋体" w:cs="宋体"/>
          <w:b/>
          <w:szCs w:val="21"/>
        </w:rPr>
      </w:pPr>
      <w:r>
        <w:rPr>
          <w:rFonts w:hint="eastAsia" w:ascii="宋体" w:hAnsi="宋体" w:cs="宋体"/>
          <w:bCs/>
          <w:szCs w:val="21"/>
        </w:rPr>
        <w:t>（4）考核评价：过程考核占40%+综合考核占60%。</w:t>
      </w:r>
    </w:p>
    <w:p w14:paraId="301C03D5">
      <w:pPr>
        <w:keepNext w:val="0"/>
        <w:keepLines w:val="0"/>
        <w:pageBreakBefore w:val="0"/>
        <w:wordWrap/>
        <w:topLinePunct w:val="0"/>
        <w:bidi w:val="0"/>
        <w:adjustRightInd w:val="0"/>
        <w:snapToGrid w:val="0"/>
        <w:spacing w:line="400" w:lineRule="exact"/>
        <w:ind w:firstLine="422" w:firstLineChars="200"/>
        <w:rPr>
          <w:rFonts w:hint="eastAsia" w:ascii="Times New Roman" w:hAnsi="Times New Roman" w:eastAsia="宋体" w:cs="宋体"/>
          <w:b/>
          <w:szCs w:val="21"/>
          <w:lang w:val="en-US" w:eastAsia="zh-CN"/>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4</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就业指导</w:t>
      </w:r>
    </w:p>
    <w:p w14:paraId="530DF549">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bCs/>
          <w:szCs w:val="21"/>
        </w:rPr>
      </w:pPr>
      <w:r>
        <w:rPr>
          <w:rFonts w:hint="eastAsia" w:ascii="宋体" w:hAnsi="宋体" w:cs="宋体"/>
          <w:b/>
          <w:bCs/>
          <w:szCs w:val="21"/>
        </w:rPr>
        <w:t>课程目标：</w:t>
      </w:r>
    </w:p>
    <w:p w14:paraId="362B3DE8">
      <w:pPr>
        <w:keepNext w:val="0"/>
        <w:keepLines w:val="0"/>
        <w:pageBreakBefore w:val="0"/>
        <w:wordWrap/>
        <w:topLinePunct w:val="0"/>
        <w:bidi w:val="0"/>
        <w:adjustRightInd w:val="0"/>
        <w:snapToGrid w:val="0"/>
        <w:spacing w:line="400" w:lineRule="exact"/>
        <w:ind w:firstLine="420" w:firstLineChars="200"/>
        <w:rPr>
          <w:rFonts w:hint="eastAsia" w:ascii="宋体" w:hAnsi="宋体" w:cs="宋体"/>
          <w:szCs w:val="21"/>
        </w:rPr>
      </w:pPr>
      <w:r>
        <w:rPr>
          <w:rFonts w:hint="eastAsia" w:ascii="宋体" w:hAnsi="宋体" w:cs="宋体"/>
          <w:bCs/>
          <w:szCs w:val="21"/>
        </w:rPr>
        <w:t>（1）</w:t>
      </w:r>
      <w:r>
        <w:rPr>
          <w:rFonts w:hint="eastAsia" w:ascii="宋体" w:hAnsi="宋体" w:cs="宋体"/>
          <w:szCs w:val="21"/>
        </w:rPr>
        <w:t>知识目标：了解国家稳就业政策核心内容，理解产业结构升级对人才需求的变化趋势，掌握就业材料的收集与整理、面试技巧等。</w:t>
      </w:r>
    </w:p>
    <w:p w14:paraId="23E58433">
      <w:pPr>
        <w:keepNext w:val="0"/>
        <w:keepLines w:val="0"/>
        <w:pageBreakBefore w:val="0"/>
        <w:wordWrap/>
        <w:topLinePunct w:val="0"/>
        <w:bidi w:val="0"/>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（2）能力目标：具备职业规划、简历制作、面试技巧、职场沟通等求职技能；强化AI工具应用（如大模型辅助简历优化）、数据分析等数字化就业能力。</w:t>
      </w:r>
    </w:p>
    <w:p w14:paraId="4C9AEE89">
      <w:pPr>
        <w:keepNext w:val="0"/>
        <w:keepLines w:val="0"/>
        <w:pageBreakBefore w:val="0"/>
        <w:wordWrap/>
        <w:topLinePunct w:val="0"/>
        <w:bidi w:val="0"/>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（3）素养目标：厚植家国情怀，主动将自身的就业目标同国家战略及区域经济发展相结合，树立理性的就业观，增强职业责任感，培养适应社会变革的终身学习能力与职业韧性。</w:t>
      </w:r>
    </w:p>
    <w:p w14:paraId="0967036B">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bCs/>
          <w:szCs w:val="21"/>
        </w:rPr>
      </w:pPr>
      <w:r>
        <w:rPr>
          <w:rFonts w:hint="eastAsia" w:ascii="宋体" w:hAnsi="宋体" w:cs="宋体"/>
          <w:b/>
          <w:bCs/>
          <w:szCs w:val="21"/>
        </w:rPr>
        <w:t>主要内容：</w:t>
      </w:r>
    </w:p>
    <w:p w14:paraId="6A6ED424">
      <w:pPr>
        <w:keepNext w:val="0"/>
        <w:keepLines w:val="0"/>
        <w:pageBreakBefore w:val="0"/>
        <w:wordWrap/>
        <w:topLinePunct w:val="0"/>
        <w:bidi w:val="0"/>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（1）求职目标确定与就业能力提升；（2）就业信息收集与调整；（3）求职技巧；（4）就业心理调适；（5）就业权益保护；（6）职业适应与发展。</w:t>
      </w:r>
    </w:p>
    <w:p w14:paraId="191EB633">
      <w:pPr>
        <w:keepNext w:val="0"/>
        <w:keepLines w:val="0"/>
        <w:pageBreakBefore w:val="0"/>
        <w:wordWrap/>
        <w:topLinePunct w:val="0"/>
        <w:bidi w:val="0"/>
        <w:spacing w:line="400" w:lineRule="exact"/>
        <w:ind w:firstLine="422" w:firstLineChars="200"/>
        <w:rPr>
          <w:rFonts w:hint="eastAsia" w:ascii="宋体" w:hAnsi="宋体" w:cs="宋体"/>
          <w:b/>
          <w:szCs w:val="21"/>
        </w:rPr>
      </w:pPr>
      <w:r>
        <w:rPr>
          <w:rFonts w:hint="eastAsia" w:ascii="宋体" w:hAnsi="宋体" w:cs="宋体"/>
          <w:b/>
          <w:szCs w:val="21"/>
        </w:rPr>
        <w:t>教学要求：</w:t>
      </w:r>
    </w:p>
    <w:p w14:paraId="4C7FA1E6">
      <w:pPr>
        <w:keepNext w:val="0"/>
        <w:keepLines w:val="0"/>
        <w:pageBreakBefore w:val="0"/>
        <w:wordWrap/>
        <w:topLinePunct w:val="0"/>
        <w:bidi w:val="0"/>
        <w:adjustRightInd w:val="0"/>
        <w:snapToGrid w:val="0"/>
        <w:spacing w:line="400" w:lineRule="exact"/>
        <w:ind w:firstLine="420" w:firstLineChars="200"/>
        <w:rPr>
          <w:rFonts w:ascii="宋体" w:hAnsi="宋体" w:cs="宋体"/>
          <w:szCs w:val="21"/>
        </w:rPr>
      </w:pPr>
      <w:r>
        <w:rPr>
          <w:rFonts w:hint="eastAsia" w:ascii="宋体" w:hAnsi="宋体" w:cs="宋体"/>
          <w:szCs w:val="21"/>
        </w:rPr>
        <w:t>（1）教师要求：熟悉</w:t>
      </w:r>
      <w:r>
        <w:rPr>
          <w:rFonts w:hint="eastAsia" w:ascii="宋体" w:hAnsi="宋体" w:cs="宋体"/>
          <w:bCs/>
          <w:szCs w:val="21"/>
        </w:rPr>
        <w:t>车辆工程、</w:t>
      </w:r>
      <w:r>
        <w:rPr>
          <w:rFonts w:ascii="宋体" w:hAnsi="宋体" w:cs="宋体"/>
          <w:bCs/>
          <w:szCs w:val="21"/>
        </w:rPr>
        <w:t>交通</w:t>
      </w:r>
      <w:r>
        <w:rPr>
          <w:rFonts w:hint="eastAsia" w:ascii="宋体" w:hAnsi="宋体" w:cs="宋体"/>
          <w:bCs/>
          <w:szCs w:val="21"/>
        </w:rPr>
        <w:t>工程</w:t>
      </w:r>
      <w:r>
        <w:rPr>
          <w:rFonts w:ascii="宋体" w:hAnsi="宋体" w:cs="宋体"/>
          <w:bCs/>
          <w:szCs w:val="21"/>
        </w:rPr>
        <w:t>、物流</w:t>
      </w:r>
      <w:r>
        <w:rPr>
          <w:rFonts w:hint="eastAsia" w:ascii="宋体" w:hAnsi="宋体" w:cs="宋体"/>
          <w:bCs/>
          <w:szCs w:val="21"/>
        </w:rPr>
        <w:t>管理</w:t>
      </w:r>
      <w:r>
        <w:rPr>
          <w:rFonts w:ascii="宋体" w:hAnsi="宋体" w:cs="宋体"/>
          <w:bCs/>
          <w:szCs w:val="21"/>
        </w:rPr>
        <w:t>等专业</w:t>
      </w:r>
      <w:r>
        <w:rPr>
          <w:rFonts w:hint="eastAsia" w:ascii="宋体" w:hAnsi="宋体" w:cs="宋体"/>
          <w:szCs w:val="21"/>
        </w:rPr>
        <w:t>及未来发展方向、就业政策、求职技巧、工具使用等。</w:t>
      </w:r>
    </w:p>
    <w:p w14:paraId="32B70D6C">
      <w:pPr>
        <w:keepNext w:val="0"/>
        <w:keepLines w:val="0"/>
        <w:pageBreakBefore w:val="0"/>
        <w:wordWrap/>
        <w:topLinePunct w:val="0"/>
        <w:bidi w:val="0"/>
        <w:adjustRightInd w:val="0"/>
        <w:snapToGrid w:val="0"/>
        <w:spacing w:line="400" w:lineRule="exact"/>
        <w:ind w:firstLine="420" w:firstLineChars="200"/>
        <w:rPr>
          <w:rFonts w:ascii="宋体" w:hAnsi="宋体" w:cs="宋体"/>
          <w:szCs w:val="21"/>
        </w:rPr>
      </w:pPr>
      <w:r>
        <w:rPr>
          <w:rFonts w:hint="eastAsia" w:ascii="宋体" w:hAnsi="宋体" w:cs="宋体"/>
          <w:szCs w:val="21"/>
        </w:rPr>
        <w:t>（2）教学条件：</w:t>
      </w:r>
      <w:r>
        <w:rPr>
          <w:rFonts w:hint="eastAsia" w:ascii="宋体" w:hAnsi="宋体" w:cs="宋体"/>
          <w:bCs/>
          <w:szCs w:val="21"/>
        </w:rPr>
        <w:t>多媒体辅助课件, 线上教学平台等，实践课在云招聘室、网络视频面试室、信息查询室、职业发展与就业指导室、校内外实践教学基地等多</w:t>
      </w:r>
      <w:r>
        <w:rPr>
          <w:rFonts w:ascii="宋体" w:hAnsi="宋体" w:cs="宋体"/>
          <w:bCs/>
          <w:szCs w:val="21"/>
        </w:rPr>
        <w:t>平台</w:t>
      </w:r>
      <w:r>
        <w:rPr>
          <w:rFonts w:hint="eastAsia" w:ascii="宋体" w:hAnsi="宋体" w:cs="宋体"/>
          <w:bCs/>
          <w:szCs w:val="21"/>
        </w:rPr>
        <w:t>进行。</w:t>
      </w:r>
    </w:p>
    <w:p w14:paraId="4D1447AC">
      <w:pPr>
        <w:keepNext w:val="0"/>
        <w:keepLines w:val="0"/>
        <w:pageBreakBefore w:val="0"/>
        <w:wordWrap/>
        <w:topLinePunct w:val="0"/>
        <w:bidi w:val="0"/>
        <w:adjustRightInd w:val="0"/>
        <w:snapToGrid w:val="0"/>
        <w:spacing w:line="400" w:lineRule="exact"/>
        <w:ind w:firstLine="420" w:firstLineChars="200"/>
        <w:rPr>
          <w:rFonts w:ascii="宋体" w:hAnsi="宋体" w:cs="宋体"/>
          <w:szCs w:val="21"/>
        </w:rPr>
      </w:pPr>
      <w:r>
        <w:rPr>
          <w:rFonts w:hint="eastAsia" w:ascii="宋体" w:hAnsi="宋体" w:cs="宋体"/>
          <w:szCs w:val="21"/>
        </w:rPr>
        <w:t>（3）教学方法：</w:t>
      </w:r>
      <w:r>
        <w:rPr>
          <w:rFonts w:hint="eastAsia" w:ascii="宋体" w:hAnsi="宋体" w:cs="宋体"/>
          <w:bCs/>
          <w:szCs w:val="21"/>
        </w:rPr>
        <w:t>本课程采用理论与实践相结合、讲授与训练相结合的方式进行。</w:t>
      </w:r>
      <w:r>
        <w:rPr>
          <w:rFonts w:hint="eastAsia" w:ascii="宋体" w:hAnsi="宋体" w:cs="宋体"/>
          <w:szCs w:val="21"/>
        </w:rPr>
        <w:t>采用讲授法、案例分析法、小组讨论、翻转课堂、简历大赛、模拟面试等多种教学方法。</w:t>
      </w:r>
    </w:p>
    <w:p w14:paraId="655ECF89">
      <w:pPr>
        <w:keepNext w:val="0"/>
        <w:keepLines w:val="0"/>
        <w:pageBreakBefore w:val="0"/>
        <w:wordWrap/>
        <w:topLinePunct w:val="0"/>
        <w:bidi w:val="0"/>
        <w:adjustRightInd w:val="0"/>
        <w:snapToGrid w:val="0"/>
        <w:spacing w:line="400" w:lineRule="exact"/>
        <w:ind w:firstLine="420" w:firstLineChars="200"/>
        <w:rPr>
          <w:rFonts w:hint="eastAsia" w:ascii="Times New Roman" w:hAnsi="Times New Roman" w:eastAsia="宋体" w:cs="宋体"/>
          <w:b/>
          <w:szCs w:val="21"/>
        </w:rPr>
      </w:pPr>
      <w:r>
        <w:rPr>
          <w:rFonts w:hint="eastAsia" w:ascii="宋体" w:hAnsi="宋体" w:cs="宋体"/>
          <w:szCs w:val="21"/>
        </w:rPr>
        <w:t>（4）考核评价：</w:t>
      </w:r>
      <w:r>
        <w:rPr>
          <w:rFonts w:hint="eastAsia" w:ascii="宋体" w:hAnsi="宋体" w:cs="宋体"/>
          <w:bCs/>
          <w:szCs w:val="21"/>
        </w:rPr>
        <w:t>过程考核占40%+综合考核占60%。</w:t>
      </w:r>
    </w:p>
    <w:p w14:paraId="115F4262">
      <w:pPr>
        <w:keepNext w:val="0"/>
        <w:keepLines w:val="0"/>
        <w:pageBreakBefore w:val="0"/>
        <w:wordWrap/>
        <w:topLinePunct w:val="0"/>
        <w:bidi w:val="0"/>
        <w:adjustRightInd w:val="0"/>
        <w:snapToGrid w:val="0"/>
        <w:spacing w:line="400" w:lineRule="exact"/>
        <w:ind w:firstLine="422" w:firstLineChars="200"/>
        <w:rPr>
          <w:rFonts w:hint="eastAsia" w:ascii="Times New Roman" w:hAnsi="Times New Roman" w:eastAsia="宋体" w:cs="宋体"/>
          <w:b/>
          <w:szCs w:val="21"/>
          <w:lang w:eastAsia="zh-CN"/>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5</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国家</w:t>
      </w:r>
      <w:r>
        <w:rPr>
          <w:rFonts w:hint="eastAsia" w:ascii="Times New Roman" w:hAnsi="Times New Roman" w:eastAsia="宋体" w:cs="宋体"/>
          <w:b/>
          <w:szCs w:val="21"/>
        </w:rPr>
        <w:t>安全教育</w:t>
      </w:r>
    </w:p>
    <w:p w14:paraId="2D21545B">
      <w:pPr>
        <w:pStyle w:val="12"/>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202EAE21">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（1）知识目标：掌握国家安全的基本理论、政策法规及交通安全相关的国家安全风险及防范措施，理解交通安全与国家安全的紧密联系。</w:t>
      </w:r>
    </w:p>
    <w:p w14:paraId="3505CB0C">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（2）能力目标：培养学生分析和识别交通领域国家安全隐患的能力，提升应对复杂安全问题的实际操作技能，增强风险预警和应急处置能力。</w:t>
      </w:r>
    </w:p>
    <w:p w14:paraId="58419DEE">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（3）素质目标：强化思想政治教育，树立正确的国家观念和职业道德，激发爱国主义精神，培养高度的社会责任感和守法意识，推动学生在未来工作中践行国家安全职责。</w:t>
      </w:r>
    </w:p>
    <w:p w14:paraId="65948287">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477EEA5C">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总体国家安全观总论；（2）政治安全；（3）国土安全；（4）军事安全；（5）经济安全；（6）文化安全；（7）社会安全；(8)科技安全；（9）网络安全；（10）生态安全；（11）资源安全；（12）核安全；（13）海外利益安全；（14）新型领域安全。</w:t>
      </w:r>
    </w:p>
    <w:p w14:paraId="22753F1A">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3C2A4DCC">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 xml:space="preserve">（1）教师要求：具有较高的政治素养和责任感，能够有效开展思政教育，激发学生的国家安全意识。能够将国家安全理论与交通行业实务结合，具备较强的教学与案例分析能力。 </w:t>
      </w:r>
    </w:p>
    <w:p w14:paraId="184A1549">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 xml:space="preserve">（2）教学条件：配备多媒体教学设施和交通安全模拟实验设备，支持实践教学与案例研究。提供丰富的教学资源，包括国家安全相关政策文本、案例库及专业书籍。 </w:t>
      </w:r>
    </w:p>
    <w:p w14:paraId="7B19AFC9">
      <w:pPr>
        <w:pStyle w:val="12"/>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3）教学方法：采用理论讲授与案例分析相结合的方法，注重互动讨论。利用情景模拟、角色扮演等方式提高学生的实际应对能力。融入思政教育内容，结合时政热点开展专题讲座，增强课程的思想性和现实针对性。</w:t>
      </w:r>
    </w:p>
    <w:p w14:paraId="55FE83DD">
      <w:pPr>
        <w:keepNext w:val="0"/>
        <w:keepLines w:val="0"/>
        <w:pageBreakBefore w:val="0"/>
        <w:wordWrap/>
        <w:topLinePunct w:val="0"/>
        <w:bidi w:val="0"/>
        <w:adjustRightInd w:val="0"/>
        <w:snapToGrid w:val="0"/>
        <w:spacing w:line="400" w:lineRule="exact"/>
        <w:ind w:firstLine="420" w:firstLineChars="200"/>
        <w:rPr>
          <w:rFonts w:hint="eastAsia" w:ascii="Times New Roman" w:hAnsi="Times New Roman" w:eastAsia="宋体" w:cs="宋体"/>
          <w:b/>
          <w:szCs w:val="21"/>
          <w:lang w:val="en-US" w:eastAsia="zh-CN"/>
        </w:rPr>
      </w:pPr>
      <w:r>
        <w:rPr>
          <w:rFonts w:hint="eastAsia" w:ascii="宋体" w:hAnsi="宋体" w:eastAsia="宋体" w:cs="宋体"/>
          <w:b w:val="0"/>
          <w:bCs/>
          <w:kern w:val="2"/>
          <w:sz w:val="21"/>
          <w:szCs w:val="21"/>
          <w:lang w:val="en-US" w:eastAsia="zh-CN" w:bidi="ar"/>
        </w:rPr>
        <w:t>（4）考核评价：过程考核占</w:t>
      </w:r>
      <w:r>
        <w:rPr>
          <w:rFonts w:hint="default" w:cs="宋体"/>
          <w:b w:val="0"/>
          <w:bCs/>
          <w:kern w:val="2"/>
          <w:sz w:val="21"/>
          <w:szCs w:val="21"/>
          <w:lang w:eastAsia="zh-CN" w:bidi="ar"/>
        </w:rPr>
        <w:t>4</w:t>
      </w:r>
      <w:r>
        <w:rPr>
          <w:rFonts w:hint="eastAsia" w:ascii="宋体" w:hAnsi="宋体" w:eastAsia="宋体" w:cs="宋体"/>
          <w:b w:val="0"/>
          <w:bCs/>
          <w:kern w:val="2"/>
          <w:sz w:val="21"/>
          <w:szCs w:val="21"/>
          <w:lang w:val="en-US" w:eastAsia="zh-CN" w:bidi="ar"/>
        </w:rPr>
        <w:t>0%+综合考核占</w:t>
      </w:r>
      <w:r>
        <w:rPr>
          <w:rFonts w:hint="default" w:cs="宋体"/>
          <w:b w:val="0"/>
          <w:bCs/>
          <w:kern w:val="2"/>
          <w:sz w:val="21"/>
          <w:szCs w:val="21"/>
          <w:lang w:eastAsia="zh-CN" w:bidi="ar"/>
        </w:rPr>
        <w:t>6</w:t>
      </w:r>
      <w:r>
        <w:rPr>
          <w:rFonts w:hint="eastAsia" w:ascii="宋体" w:hAnsi="宋体" w:eastAsia="宋体" w:cs="宋体"/>
          <w:b w:val="0"/>
          <w:bCs/>
          <w:kern w:val="2"/>
          <w:sz w:val="21"/>
          <w:szCs w:val="21"/>
          <w:lang w:val="en-US" w:eastAsia="zh-CN" w:bidi="ar"/>
        </w:rPr>
        <w:t>0%。</w:t>
      </w:r>
    </w:p>
    <w:p w14:paraId="11ABDF30">
      <w:pPr>
        <w:keepNext w:val="0"/>
        <w:keepLines w:val="0"/>
        <w:pageBreakBefore w:val="0"/>
        <w:wordWrap/>
        <w:topLinePunct w:val="0"/>
        <w:bidi w:val="0"/>
        <w:adjustRightInd w:val="0"/>
        <w:snapToGrid w:val="0"/>
        <w:spacing w:line="400" w:lineRule="exact"/>
        <w:ind w:firstLine="422" w:firstLineChars="200"/>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16.大学生心理健康教育</w:t>
      </w:r>
    </w:p>
    <w:p w14:paraId="25F3DC23">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7F446638">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知识目标：掌握心理健康标准及意义，明确其对个人成长与职业发展的作用。了解不同职业场景下常见的心理特点，明晰团队协作中的心理规律，知晓特殊事件对心理的影响，建立适配交通职业的认知体系。</w:t>
      </w:r>
    </w:p>
    <w:p w14:paraId="3CC30E71">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（2）能力目标：提升自我认知与情绪识别能力，能察觉学习实践中的心理变化。增强团队协作中的沟通能力，学会应对各类心理挑战，提高在交通职业环境中解决心理问题的实践能力。</w:t>
      </w:r>
    </w:p>
    <w:p w14:paraId="5A83AB67">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rightChars="0" w:firstLine="420" w:firstLineChars="200"/>
        <w:jc w:val="both"/>
        <w:textAlignment w:val="auto"/>
        <w:rPr>
          <w:rFonts w:hint="eastAsia" w:ascii="宋体" w:hAnsi="宋体" w:eastAsia="宋体" w:cs="宋体"/>
          <w:b w:val="0"/>
          <w:bCs/>
          <w:color w:val="FF0000"/>
          <w:kern w:val="2"/>
          <w:sz w:val="21"/>
          <w:szCs w:val="21"/>
        </w:rPr>
      </w:pPr>
      <w:r>
        <w:rPr>
          <w:rFonts w:hint="eastAsia" w:ascii="宋体" w:hAnsi="宋体" w:eastAsia="宋体" w:cs="宋体"/>
          <w:b w:val="0"/>
          <w:bCs/>
          <w:kern w:val="2"/>
          <w:sz w:val="21"/>
          <w:szCs w:val="21"/>
          <w:lang w:val="en-US" w:eastAsia="zh-CN" w:bidi="ar"/>
        </w:rPr>
        <w:t>（3）素质目标：将课程所学与强国建设使命结合，培养爱岗敬业、责任担当精神，增强社会责任感。形成坚韧意志与正确价值观，实现心理素质与思想道德素质协同发展，为行业发展和社会进步贡献力量。</w:t>
      </w:r>
    </w:p>
    <w:p w14:paraId="0289E220">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655F1A1B">
      <w:pPr>
        <w:keepNext w:val="0"/>
        <w:keepLines w:val="0"/>
        <w:pageBreakBefore w:val="0"/>
        <w:widowControl w:val="0"/>
        <w:numPr>
          <w:ilvl w:val="0"/>
          <w:numId w:val="0"/>
        </w:numPr>
        <w:suppressLineNumbers w:val="0"/>
        <w:kinsoku/>
        <w:wordWrap/>
        <w:overflowPunct/>
        <w:topLinePunct w:val="0"/>
        <w:autoSpaceDE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大学生心理健康导论（2）认识自我（3）学习心理（4）人际交往（5）恋爱心理（6）性心理（7）家庭关系（8）情绪管理（9）网络心理（10）压力与应对（11）生命意义与危机干预（12）职业生涯规划</w:t>
      </w:r>
    </w:p>
    <w:p w14:paraId="76FBB40E">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11783042">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firstLineChars="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教师要求：需具备扎实的心理学理论基础，掌握心理健康教育核心知识，熟悉大学生心理发展规律及职业心理特点，了解思政教育与心理健康教育融合的方法，能精准对接课程十二大模块内容。同时，具备教学设计与实践组织能力，能结合课程目标设计案例分析、情景模拟等教学活动；拥有良好的沟通与引导能力，可有效开展心理互动与团队协作指导；具备心理辅导与危机识别基础能力，能融入思政元素培养学生责任担当意识。</w:t>
      </w:r>
    </w:p>
    <w:p w14:paraId="7582FAF8">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（2）教学条件：需配备多媒体教室（含投影仪、音响等设备），提供配套教材、教学PPT、心理案例库（涵盖学习、人际、职业等场景）及相关文献资源。</w:t>
      </w:r>
    </w:p>
    <w:p w14:paraId="1F12850A">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（3）教学方法：现场教学法、分组讨论法、直观演示法、案例分析法、启发教学法和角色扮演。</w:t>
      </w:r>
    </w:p>
    <w:p w14:paraId="5F568DD3">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jc w:val="both"/>
        <w:textAlignment w:val="auto"/>
        <w:rPr>
          <w:rFonts w:hint="eastAsia" w:ascii="Times New Roman" w:hAnsi="Times New Roman" w:eastAsia="宋体" w:cs="宋体"/>
          <w:b/>
          <w:szCs w:val="21"/>
          <w:lang w:val="en-US" w:eastAsia="zh-CN"/>
        </w:rPr>
      </w:pPr>
      <w:r>
        <w:rPr>
          <w:rFonts w:hint="eastAsia" w:ascii="宋体" w:hAnsi="宋体" w:eastAsia="宋体" w:cs="宋体"/>
          <w:b w:val="0"/>
          <w:bCs/>
          <w:kern w:val="2"/>
          <w:sz w:val="21"/>
          <w:szCs w:val="21"/>
          <w:lang w:val="en-US" w:eastAsia="zh-CN" w:bidi="ar"/>
        </w:rPr>
        <w:t>（4）考核评价：过程考核占40%+期末考核占60%。</w:t>
      </w:r>
    </w:p>
    <w:p w14:paraId="54F08199">
      <w:pPr>
        <w:keepNext w:val="0"/>
        <w:keepLines w:val="0"/>
        <w:pageBreakBefore w:val="0"/>
        <w:numPr>
          <w:ilvl w:val="0"/>
          <w:numId w:val="0"/>
        </w:numPr>
        <w:wordWrap/>
        <w:topLinePunct w:val="0"/>
        <w:bidi w:val="0"/>
        <w:adjustRightInd w:val="0"/>
        <w:snapToGrid w:val="0"/>
        <w:spacing w:line="400" w:lineRule="exact"/>
        <w:ind w:firstLine="422" w:firstLineChars="200"/>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17.劳动教育</w:t>
      </w:r>
    </w:p>
    <w:p w14:paraId="37E4B361">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4542C264">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（1）知识目标</w:t>
      </w:r>
    </w:p>
    <w:p w14:paraId="73294118">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知识目标一：通过劳动教育课程，培养学生正确的劳动观念、劳动习惯和劳动精神，增强学生社会责任感与实践能力。</w:t>
      </w:r>
    </w:p>
    <w:p w14:paraId="58FD1E82">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知识目标二：落实国家关于加强新时代大中小学劳动教育的要求，使学生理解劳动创造价值、劳动最光荣的内涵，掌握基本劳动技能，形成尊重劳动、热爱劳动的品质，促进学生全面发展。</w:t>
      </w:r>
    </w:p>
    <w:p w14:paraId="22ED969C">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kern w:val="2"/>
          <w:sz w:val="21"/>
          <w:szCs w:val="21"/>
          <w:lang w:val="en-US" w:eastAsia="zh-CN" w:bidi="ar"/>
        </w:rPr>
        <w:t>（2）</w:t>
      </w:r>
      <w:r>
        <w:rPr>
          <w:rFonts w:hint="eastAsia" w:ascii="宋体" w:hAnsi="宋体" w:eastAsia="宋体" w:cs="宋体"/>
          <w:kern w:val="2"/>
          <w:sz w:val="21"/>
          <w:szCs w:val="21"/>
          <w:lang w:val="en-US" w:eastAsia="zh-CN" w:bidi="ar"/>
        </w:rPr>
        <w:t>能力目标</w:t>
      </w:r>
    </w:p>
    <w:p w14:paraId="052EB306">
      <w:pPr>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通过劳动教育课程，使学生掌握基础劳动技能与工具使用方法，具备独立完成校园清洁、绿化维护、手工制作等实践任务的能力。能够结合专业特色设计劳动方案，解决简单劳动问题，并在团队协作中提升沟通协调与任务执行效率，形成持续改进的劳动实践能力。</w:t>
      </w:r>
    </w:p>
    <w:p w14:paraId="61FFA91C">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left="0" w:leftChars="0"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kern w:val="2"/>
          <w:sz w:val="21"/>
          <w:szCs w:val="21"/>
          <w:lang w:val="en-US" w:eastAsia="zh-CN" w:bidi="ar"/>
        </w:rPr>
        <w:t>（3）</w:t>
      </w:r>
      <w:r>
        <w:rPr>
          <w:rFonts w:hint="eastAsia" w:ascii="宋体" w:hAnsi="宋体" w:eastAsia="宋体" w:cs="宋体"/>
          <w:kern w:val="2"/>
          <w:sz w:val="21"/>
          <w:szCs w:val="21"/>
          <w:lang w:val="en-US" w:eastAsia="zh-CN" w:bidi="ar"/>
        </w:rPr>
        <w:t>素质目标</w:t>
      </w:r>
    </w:p>
    <w:p w14:paraId="48761562">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leftChars="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培养学生尊重劳动、崇尚技能的价值观，强化责任意识与吃苦精神。通过劳动实践塑造严谨细致、精益求精的工匠态度，增强集体荣誉感与社会服务意识。引导学生树立</w:t>
      </w:r>
      <w:r>
        <w:rPr>
          <w:rFonts w:hint="eastAsia" w:cs="Times New Roman"/>
          <w:kern w:val="2"/>
          <w:sz w:val="21"/>
          <w:szCs w:val="21"/>
          <w:lang w:val="en-US" w:eastAsia="zh-CN" w:bidi="ar"/>
        </w:rPr>
        <w:t>“</w:t>
      </w:r>
      <w:r>
        <w:rPr>
          <w:rFonts w:hint="eastAsia" w:ascii="宋体" w:hAnsi="宋体" w:eastAsia="宋体" w:cs="宋体"/>
          <w:kern w:val="2"/>
          <w:sz w:val="21"/>
          <w:szCs w:val="21"/>
          <w:lang w:val="en-US" w:eastAsia="zh-CN" w:bidi="ar"/>
        </w:rPr>
        <w:t>劳动创造价值</w:t>
      </w:r>
      <w:r>
        <w:rPr>
          <w:rFonts w:hint="eastAsia" w:cs="Times New Roman"/>
          <w:kern w:val="2"/>
          <w:sz w:val="21"/>
          <w:szCs w:val="21"/>
          <w:lang w:val="en-US" w:eastAsia="zh-CN" w:bidi="ar"/>
        </w:rPr>
        <w:t>”</w:t>
      </w:r>
      <w:r>
        <w:rPr>
          <w:rFonts w:hint="eastAsia" w:ascii="宋体" w:hAnsi="宋体" w:eastAsia="宋体" w:cs="宋体"/>
          <w:kern w:val="2"/>
          <w:sz w:val="21"/>
          <w:szCs w:val="21"/>
          <w:lang w:val="en-US" w:eastAsia="zh-CN" w:bidi="ar"/>
        </w:rPr>
        <w:t>的人生观，形成勤俭节约、绿色环保的生活理念，最终成长为德技并修的新时代应用型人才。</w:t>
      </w:r>
    </w:p>
    <w:p w14:paraId="28EAB8BC">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63B51A03">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（1）劳动理论与价值观教育：包括马克思主义劳动观、劳动法律法规、劳动安全与权益保护等知识，引导学生树立正确的劳动价值观</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（2）日常生活劳动实践：开展校园环境维护、宿舍内务整理、食堂帮厨等实践活动，培养学生生活自理能力与卫生习惯</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（3）生产劳动技能训练：结合电子商务专业特点，组织物流包装、商品分拣、电商运营模拟等实训，提升学生动手能力和职业素养</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（4）公益服务劳动体验：参与社区志愿服务、校园公益活动，增强学生社会责任感与奉献精神。</w:t>
      </w:r>
    </w:p>
    <w:p w14:paraId="08C8F02A">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25915859">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（1）教师要求：</w:t>
      </w:r>
      <w:r>
        <w:rPr>
          <w:rFonts w:hint="eastAsia" w:ascii="宋体" w:hAnsi="宋体" w:eastAsia="宋体" w:cs="宋体"/>
          <w:kern w:val="2"/>
          <w:sz w:val="21"/>
          <w:szCs w:val="21"/>
          <w:lang w:val="en-US" w:eastAsia="zh-CN" w:bidi="ar"/>
        </w:rPr>
        <w:t>理论教学要通过课堂讲授、案例分析、小组讨论等形式，确保学生掌握劳动教育基本理论。</w:t>
      </w:r>
    </w:p>
    <w:p w14:paraId="1A648DC7">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（2）教学条件：</w:t>
      </w:r>
      <w:r>
        <w:rPr>
          <w:rFonts w:hint="eastAsia" w:ascii="宋体" w:hAnsi="宋体" w:eastAsia="宋体" w:cs="宋体"/>
          <w:kern w:val="2"/>
          <w:sz w:val="21"/>
          <w:szCs w:val="21"/>
          <w:lang w:val="en-US" w:eastAsia="zh-CN" w:bidi="ar"/>
        </w:rPr>
        <w:t>严格遵守劳动安全规范，配备必要防护用品，确保实践活动安全有序开展。进行资源整合，联合校企合作单位、社区组织共建劳动实践基地，丰富劳动教育形式与内容。</w:t>
      </w:r>
    </w:p>
    <w:p w14:paraId="7943044B">
      <w:pPr>
        <w:pStyle w:val="1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（3）教学方法：在线理论教学+线下劳动实践。</w:t>
      </w:r>
    </w:p>
    <w:p w14:paraId="29B086C6">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default" w:ascii="Times New Roman" w:hAnsi="Times New Roman" w:eastAsia="宋体" w:cs="宋体"/>
          <w:b/>
          <w:szCs w:val="21"/>
          <w:lang w:val="en-US" w:eastAsia="zh-CN"/>
        </w:rPr>
      </w:pPr>
      <w:r>
        <w:rPr>
          <w:rFonts w:hint="eastAsia" w:ascii="宋体" w:hAnsi="宋体" w:eastAsia="宋体" w:cs="宋体"/>
          <w:b w:val="0"/>
          <w:bCs/>
          <w:kern w:val="2"/>
          <w:sz w:val="21"/>
          <w:szCs w:val="21"/>
          <w:lang w:val="en-US" w:eastAsia="zh-CN" w:bidi="ar"/>
        </w:rPr>
        <w:t>（4）考核评价</w:t>
      </w:r>
      <w:r>
        <w:rPr>
          <w:rFonts w:hint="default" w:ascii="宋体" w:hAnsi="宋体" w:cs="宋体"/>
          <w:b w:val="0"/>
          <w:bCs/>
          <w:kern w:val="2"/>
          <w:sz w:val="21"/>
          <w:szCs w:val="21"/>
          <w:lang w:eastAsia="zh-CN" w:bidi="ar"/>
        </w:rPr>
        <w:t>：</w:t>
      </w:r>
      <w:r>
        <w:rPr>
          <w:rFonts w:hint="eastAsia" w:ascii="宋体" w:hAnsi="宋体" w:eastAsia="宋体" w:cs="宋体"/>
          <w:b w:val="0"/>
          <w:bCs/>
          <w:kern w:val="2"/>
          <w:sz w:val="21"/>
          <w:szCs w:val="21"/>
          <w:lang w:val="en-US" w:eastAsia="zh-CN" w:bidi="ar"/>
        </w:rPr>
        <w:t>以</w:t>
      </w:r>
      <w:r>
        <w:rPr>
          <w:rFonts w:hint="eastAsia" w:ascii="宋体" w:hAnsi="宋体" w:eastAsia="宋体" w:cs="宋体"/>
          <w:kern w:val="2"/>
          <w:sz w:val="21"/>
          <w:szCs w:val="21"/>
          <w:lang w:val="en-US" w:eastAsia="zh-CN" w:bidi="ar"/>
        </w:rPr>
        <w:t>实践考核为主，劳动实践时长不少于16学时，采用过程性评价与成果展示相结合的方式，考核学生劳动态度、技能掌握情况。</w:t>
      </w:r>
    </w:p>
    <w:p w14:paraId="781DE3DF">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default" w:ascii="宋体" w:hAnsi="宋体" w:eastAsia="宋体" w:cs="宋体"/>
          <w:b/>
          <w:szCs w:val="32"/>
          <w:lang w:val="en-US" w:eastAsia="zh-CN"/>
        </w:rPr>
      </w:pPr>
      <w:r>
        <w:rPr>
          <w:rFonts w:hint="eastAsia" w:ascii="宋体" w:hAnsi="宋体" w:eastAsia="宋体" w:cs="宋体"/>
          <w:b/>
          <w:szCs w:val="32"/>
          <w:lang w:val="en-US" w:eastAsia="zh-CN"/>
        </w:rPr>
        <w:t>（二）专业理论课程</w:t>
      </w:r>
    </w:p>
    <w:p w14:paraId="321F0155">
      <w:pPr>
        <w:keepNext w:val="0"/>
        <w:keepLines w:val="0"/>
        <w:pageBreakBefore w:val="0"/>
        <w:wordWrap/>
        <w:topLinePunct w:val="0"/>
        <w:bidi w:val="0"/>
        <w:adjustRightInd w:val="0"/>
        <w:snapToGrid w:val="0"/>
        <w:spacing w:line="400" w:lineRule="exact"/>
        <w:ind w:firstLine="404" w:firstLineChars="200"/>
        <w:rPr>
          <w:rFonts w:hint="eastAsia" w:ascii="宋体" w:hAnsi="宋体" w:eastAsia="宋体" w:cs="宋体"/>
          <w:i w:val="0"/>
          <w:iCs w:val="0"/>
          <w:snapToGrid w:val="0"/>
          <w:color w:val="0000FF"/>
          <w:spacing w:val="-2"/>
          <w:kern w:val="2"/>
          <w:sz w:val="21"/>
          <w:szCs w:val="21"/>
          <w:highlight w:val="yellow"/>
          <w:lang w:val="en-US" w:eastAsia="zh-CN" w:bidi="ar-SA"/>
        </w:rPr>
      </w:pPr>
      <w:r>
        <w:rPr>
          <w:rFonts w:hint="eastAsia" w:ascii="Times New Roman" w:hAnsi="Times New Roman"/>
          <w:color w:val="000000" w:themeColor="text1"/>
          <w:spacing w:val="-4"/>
          <w:highlight w:val="none"/>
          <w:lang w:val="en-US" w:eastAsia="zh-CN"/>
          <w14:textFill>
            <w14:solidFill>
              <w14:schemeClr w14:val="tx1"/>
            </w14:solidFill>
          </w14:textFill>
        </w:rPr>
        <w:t>该专业专业理论课共包含专业必修课程和专业选修课程两大类。专业必修课程有</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w:t>
      </w:r>
      <w:r>
        <w:rPr>
          <w:rFonts w:hint="eastAsia"/>
          <w:color w:val="000000" w:themeColor="text1"/>
          <w:spacing w:val="-4"/>
          <w:lang w:val="en-US" w:eastAsia="zh-CN"/>
          <w14:textFill>
            <w14:solidFill>
              <w14:schemeClr w14:val="tx1"/>
            </w14:solidFill>
          </w14:textFill>
        </w:rPr>
        <w:t>机械制图</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w:t>
      </w:r>
      <w:r>
        <w:rPr>
          <w:rFonts w:hint="eastAsia"/>
          <w:color w:val="000000" w:themeColor="text1"/>
          <w:spacing w:val="-4"/>
          <w:lang w:val="en-US" w:eastAsia="zh-CN"/>
          <w14:textFill>
            <w14:solidFill>
              <w14:schemeClr w14:val="tx1"/>
            </w14:solidFill>
          </w14:textFill>
        </w:rPr>
        <w:t>机械基础</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w:t>
      </w:r>
      <w:r>
        <w:rPr>
          <w:rFonts w:hint="eastAsia"/>
          <w:color w:val="000000" w:themeColor="text1"/>
          <w:spacing w:val="-4"/>
          <w:lang w:val="en-US" w:eastAsia="zh-CN"/>
          <w14:textFill>
            <w14:solidFill>
              <w14:schemeClr w14:val="tx1"/>
            </w14:solidFill>
          </w14:textFill>
        </w:rPr>
        <w:t>电路识图</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w:t>
      </w:r>
      <w:r>
        <w:rPr>
          <w:rFonts w:hint="eastAsia"/>
          <w:color w:val="000000" w:themeColor="text1"/>
          <w:spacing w:val="-4"/>
          <w:lang w:val="en-US" w:eastAsia="zh-CN"/>
          <w14:textFill>
            <w14:solidFill>
              <w14:schemeClr w14:val="tx1"/>
            </w14:solidFill>
          </w14:textFill>
        </w:rPr>
        <w:t>使用与维护</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汽车构造</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汽车发动机检测与维修</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汽车底盘检测与维修</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汽车电气系统检</w:t>
      </w:r>
      <w:r>
        <w:rPr>
          <w:rFonts w:hint="eastAsia"/>
          <w:color w:val="000000" w:themeColor="text1"/>
          <w:spacing w:val="-4"/>
          <w:lang w:val="en-US" w:eastAsia="zh-CN"/>
          <w14:textFill>
            <w14:solidFill>
              <w14:schemeClr w14:val="tx1"/>
            </w14:solidFill>
          </w14:textFill>
        </w:rPr>
        <w:t>测与维修》《汽车检测与故障诊断》《新能源汽车技术》等10门课程，29 学分。</w:t>
      </w:r>
    </w:p>
    <w:p w14:paraId="7FF80152">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lang w:val="en-US" w:eastAsia="zh-CN"/>
        </w:rPr>
        <w:t>1</w:t>
      </w:r>
      <w:r>
        <w:rPr>
          <w:rFonts w:hint="eastAsia" w:ascii="宋体" w:hAnsi="宋体" w:cs="宋体"/>
          <w:b/>
          <w:szCs w:val="21"/>
        </w:rPr>
        <w:t>.汽车机械制图</w:t>
      </w:r>
    </w:p>
    <w:p w14:paraId="1A1D1F16">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31B70A68">
      <w:pPr>
        <w:pStyle w:val="24"/>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w:t>
      </w:r>
      <w:r>
        <w:rPr>
          <w:bCs/>
          <w:lang w:eastAsia="zh-CN"/>
        </w:rPr>
        <w:t>1</w:t>
      </w:r>
      <w:r>
        <w:rPr>
          <w:rFonts w:hint="eastAsia"/>
          <w:bCs/>
          <w:lang w:eastAsia="zh-CN"/>
        </w:rPr>
        <w:t>）知识目标：系统掌握正投影法、剖视图、局部放大图等机械图样表达方法；熟悉国家制图标准（GB）、尺寸标注、公差与配合；了解计算机辅助绘图（CAD）基本操作与图形管理。</w:t>
      </w:r>
    </w:p>
    <w:p w14:paraId="5AA6C920">
      <w:pPr>
        <w:pStyle w:val="24"/>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w:t>
      </w:r>
      <w:r>
        <w:rPr>
          <w:bCs/>
          <w:lang w:eastAsia="zh-CN"/>
        </w:rPr>
        <w:t>2</w:t>
      </w:r>
      <w:r>
        <w:rPr>
          <w:rFonts w:hint="eastAsia"/>
          <w:bCs/>
          <w:lang w:eastAsia="zh-CN"/>
        </w:rPr>
        <w:t>）能力目标：能够独立完成汽车典型零件图和装配图的绘制与识读；具备使用CAD软件进行二维绘图和三维建模的能力；能初步进行图纸审核与修改。</w:t>
      </w:r>
    </w:p>
    <w:p w14:paraId="250A6FDA">
      <w:pPr>
        <w:pStyle w:val="24"/>
        <w:keepNext w:val="0"/>
        <w:keepLines w:val="0"/>
        <w:pageBreakBefore w:val="0"/>
        <w:wordWrap/>
        <w:topLinePunct w:val="0"/>
        <w:bidi w:val="0"/>
        <w:spacing w:line="400" w:lineRule="exact"/>
        <w:ind w:left="113" w:right="102" w:firstLine="210" w:firstLineChars="100"/>
        <w:rPr>
          <w:rFonts w:hint="eastAsia"/>
          <w:bCs/>
          <w:color w:val="FF0000"/>
          <w:lang w:eastAsia="zh-CN"/>
        </w:rPr>
      </w:pPr>
      <w:r>
        <w:rPr>
          <w:rFonts w:hint="eastAsia"/>
          <w:bCs/>
          <w:lang w:eastAsia="zh-CN"/>
        </w:rPr>
        <w:t>（</w:t>
      </w:r>
      <w:r>
        <w:rPr>
          <w:bCs/>
          <w:lang w:eastAsia="zh-CN"/>
        </w:rPr>
        <w:t>3</w:t>
      </w:r>
      <w:r>
        <w:rPr>
          <w:rFonts w:hint="eastAsia"/>
          <w:bCs/>
          <w:lang w:eastAsia="zh-CN"/>
        </w:rPr>
        <w:t>）素质目标培养严谨细致的工程技术态度，增强图形表达与沟通能力，形成标准化、规范化的职业习惯。</w:t>
      </w:r>
    </w:p>
    <w:p w14:paraId="23DEFE5D">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37920E17">
      <w:pPr>
        <w:pStyle w:val="24"/>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1）机械制图基本知识与规范；（2）投影法与视图表达：包括基本视图、剖视图、断面图等；（3）标准件与常用件图样：螺纹、齿轮、轴承等；（4）零件图：尺寸标注、技术要求、材料标注；（5）装配图：结构表达、装配关系、明细栏；（6）计算机绘图基础：AutoCAD/CAXA 基本操作与实战练习。</w:t>
      </w:r>
    </w:p>
    <w:p w14:paraId="6F9CC3A0">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01793D9B">
      <w:pPr>
        <w:keepNext w:val="0"/>
        <w:keepLines w:val="0"/>
        <w:pageBreakBefore w:val="0"/>
        <w:numPr>
          <w:ilvl w:val="0"/>
          <w:numId w:val="5"/>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教师要求：教师应具备扎实的机械制图理论与CAD实操经验。</w:t>
      </w:r>
    </w:p>
    <w:p w14:paraId="6E388602">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（2）教学条件：教学需结合多媒体课件、实物模型与CAD机房实训。</w:t>
      </w:r>
    </w:p>
    <w:p w14:paraId="404BD2AA">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（3）教学方法：采用讲练结合、项目绘图、小组互评等教学方法。</w:t>
      </w:r>
    </w:p>
    <w:p w14:paraId="5164593F">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4522DD06">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bookmarkStart w:id="19" w:name="_Hlk207733013"/>
      <w:r>
        <w:rPr>
          <w:rFonts w:hint="eastAsia" w:ascii="宋体" w:hAnsi="宋体" w:cs="宋体"/>
          <w:b/>
          <w:szCs w:val="21"/>
          <w:lang w:val="en-US" w:eastAsia="zh-CN"/>
        </w:rPr>
        <w:t>2</w:t>
      </w:r>
      <w:r>
        <w:rPr>
          <w:rFonts w:hint="eastAsia" w:ascii="宋体" w:hAnsi="宋体" w:cs="宋体"/>
          <w:b/>
          <w:szCs w:val="21"/>
        </w:rPr>
        <w:t>.汽车机械基础</w:t>
      </w:r>
    </w:p>
    <w:p w14:paraId="4613DA5D">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523C376F">
      <w:pPr>
        <w:pStyle w:val="24"/>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w:t>
      </w:r>
      <w:r>
        <w:rPr>
          <w:bCs/>
          <w:lang w:eastAsia="zh-CN"/>
        </w:rPr>
        <w:t>1</w:t>
      </w:r>
      <w:r>
        <w:rPr>
          <w:rFonts w:hint="eastAsia"/>
          <w:bCs/>
          <w:lang w:eastAsia="zh-CN"/>
        </w:rPr>
        <w:t>）知识目标：掌握机构学、传动方式、力学基础、材料性能等机械工程基础知识；理解汽车中常见机械结构如连杆机构、齿轮传动、带传动等的工作原理。</w:t>
      </w:r>
    </w:p>
    <w:p w14:paraId="5A393656">
      <w:pPr>
        <w:pStyle w:val="24"/>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w:t>
      </w:r>
      <w:r>
        <w:rPr>
          <w:bCs/>
          <w:lang w:eastAsia="zh-CN"/>
        </w:rPr>
        <w:t>2</w:t>
      </w:r>
      <w:r>
        <w:rPr>
          <w:rFonts w:hint="eastAsia"/>
          <w:bCs/>
          <w:lang w:eastAsia="zh-CN"/>
        </w:rPr>
        <w:t>）能力目标：能分析汽车机械传动系统的结构与运动关系；具备初步的机械故障判断与机构设计能力。</w:t>
      </w:r>
    </w:p>
    <w:p w14:paraId="66E99597">
      <w:pPr>
        <w:pStyle w:val="24"/>
        <w:keepNext w:val="0"/>
        <w:keepLines w:val="0"/>
        <w:pageBreakBefore w:val="0"/>
        <w:wordWrap/>
        <w:topLinePunct w:val="0"/>
        <w:bidi w:val="0"/>
        <w:spacing w:line="400" w:lineRule="exact"/>
        <w:ind w:left="113" w:right="102" w:firstLine="210" w:firstLineChars="100"/>
        <w:rPr>
          <w:rFonts w:hint="eastAsia"/>
          <w:bCs/>
          <w:color w:val="FF0000"/>
          <w:lang w:eastAsia="zh-CN"/>
        </w:rPr>
      </w:pPr>
      <w:r>
        <w:rPr>
          <w:rFonts w:hint="eastAsia"/>
          <w:bCs/>
          <w:lang w:eastAsia="zh-CN"/>
        </w:rPr>
        <w:t>（</w:t>
      </w:r>
      <w:r>
        <w:rPr>
          <w:bCs/>
          <w:lang w:eastAsia="zh-CN"/>
        </w:rPr>
        <w:t>3</w:t>
      </w:r>
      <w:r>
        <w:rPr>
          <w:rFonts w:hint="eastAsia"/>
          <w:bCs/>
          <w:lang w:eastAsia="zh-CN"/>
        </w:rPr>
        <w:t>）素质目标：培养系统思维与工程分析能力，增强创新意识和解决实际机械问题的综合素养。</w:t>
      </w:r>
    </w:p>
    <w:p w14:paraId="31246C72">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08155CF7">
      <w:pPr>
        <w:pStyle w:val="24"/>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1）机械原理：运动副、机构自由度、四杆机构等；（2）机械传动：齿轮传动、带传动、链传动；（3）轴系零部件：轴、轴承、联轴器、离合器；（4）力学基础：静力学、材料力学简要内容；（5）液压与气压传动简介；（6）机械连接方式：螺纹、键、销等。</w:t>
      </w:r>
    </w:p>
    <w:p w14:paraId="0FC3B51D">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36810A2B">
      <w:pPr>
        <w:keepNext w:val="0"/>
        <w:keepLines w:val="0"/>
        <w:pageBreakBefore w:val="0"/>
        <w:numPr>
          <w:ilvl w:val="0"/>
          <w:numId w:val="5"/>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教师要求：熟悉汽车各部件的工作过程和装配关系，具备较强的汽车构造理论知识和汽车构造实践能力。</w:t>
      </w:r>
    </w:p>
    <w:p w14:paraId="20928E9B">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（2）教学条件：多媒体辅助课件，实践课在汽车构造实训室，配置汽车构造仿真软件、虚拟实验室。</w:t>
      </w:r>
    </w:p>
    <w:p w14:paraId="7D6EDC74">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（3）教学方法：现场教学法、分组讨论法、直观演示法、动手实践法、自主学习法和任务驱动法。</w:t>
      </w:r>
    </w:p>
    <w:p w14:paraId="402897D0">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3A99BCAF">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lang w:val="en-US" w:eastAsia="zh-CN"/>
        </w:rPr>
        <w:t>3</w:t>
      </w:r>
      <w:r>
        <w:rPr>
          <w:rFonts w:hint="eastAsia" w:ascii="宋体" w:hAnsi="宋体" w:cs="宋体"/>
          <w:b/>
          <w:szCs w:val="21"/>
        </w:rPr>
        <w:t>.汽车电路识图</w:t>
      </w:r>
    </w:p>
    <w:p w14:paraId="19A3A6DD">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7838810B">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）知识目标：掌握汽车电路图形符号、线路编码、控制系统逻辑；理解电源、起动、点火、照明、仪表、电子控制等系统的电路组成与工作原理。</w:t>
      </w:r>
    </w:p>
    <w:p w14:paraId="587671CB">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）能力目标：能够熟练识读整车电路图，分析电路故障，进行电路测量与线路排查；初步掌握电路仿真软件的使用。</w:t>
      </w:r>
    </w:p>
    <w:p w14:paraId="2EE6242A">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）素质目标：培养逻辑思维与系统分析能力，树立电气安全意识和规范操作习惯。</w:t>
      </w:r>
    </w:p>
    <w:p w14:paraId="68C1709E">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14706623">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汽车电路基础知识：符号、导线颜色、线路编码；（2）电源系统与起动系统电路；（3）点火系统与燃油喷射系统电路；（4）照明、信号与仪表系统电路；（5）车身电子控制系统：中控、空调、安全气囊等；（6）电路图综合识读与故障模拟分析。</w:t>
      </w:r>
    </w:p>
    <w:p w14:paraId="04DC7551">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62CBAF73">
      <w:pPr>
        <w:keepNext w:val="0"/>
        <w:keepLines w:val="0"/>
        <w:pageBreakBefore w:val="0"/>
        <w:numPr>
          <w:ilvl w:val="0"/>
          <w:numId w:val="6"/>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教师要求：教师应具备汽车电气系统维修经验。</w:t>
      </w:r>
    </w:p>
    <w:p w14:paraId="1737D67F">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（2）教学条件：教学需使用电路图册、仿真软件与实物电路板。</w:t>
      </w:r>
    </w:p>
    <w:p w14:paraId="08FC51A5">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（3）教学方法：采用任务驱动、实操测量、案例排查。</w:t>
      </w:r>
    </w:p>
    <w:p w14:paraId="759A5304">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bookmarkEnd w:id="19"/>
    <w:p w14:paraId="56788B10">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r>
        <w:rPr>
          <w:rFonts w:hint="eastAsia" w:ascii="宋体" w:hAnsi="宋体" w:cs="宋体"/>
          <w:b/>
          <w:szCs w:val="21"/>
          <w:lang w:val="en-US" w:eastAsia="zh-CN"/>
        </w:rPr>
        <w:t>4</w:t>
      </w:r>
      <w:r>
        <w:rPr>
          <w:rFonts w:hint="eastAsia" w:ascii="宋体" w:hAnsi="宋体" w:cs="宋体"/>
          <w:b/>
          <w:szCs w:val="21"/>
        </w:rPr>
        <w:t>.汽车使用与维护</w:t>
      </w:r>
    </w:p>
    <w:p w14:paraId="19429F0F">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7F8230DD">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）知识目标：掌握汽车日常使用注意事项、保养周期与项目内容；了解常见故障的预防与处理方法；熟悉保养手册的使用。</w:t>
      </w:r>
    </w:p>
    <w:p w14:paraId="26FA4E6B">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）能力目标：能独立完成机油更换、滤清器更换、轮胎换位、制动检查等常规保养项目；具备车辆初步检查与维护计划制定能力。</w:t>
      </w:r>
    </w:p>
    <w:p w14:paraId="365C0F37">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）素质目标：培养爱护车辆、安全驾驶的意识，增强服务沟通与团队协作能力。</w:t>
      </w:r>
    </w:p>
    <w:p w14:paraId="0461C675">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7AFC5FEA">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（1）汽车使用基本知识与注意事项；（2）日常检查与保养：油液、轮胎、灯光、制动等；（3）定期保养项目：小保养、大保养内容与流程；（4）常见故障预警与应急处理；（5）保养记录填写与客户沟通技巧。</w:t>
      </w:r>
    </w:p>
    <w:p w14:paraId="7BCEB0FB">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515CF442">
      <w:pPr>
        <w:keepNext w:val="0"/>
        <w:keepLines w:val="0"/>
        <w:pageBreakBefore w:val="0"/>
        <w:numPr>
          <w:ilvl w:val="0"/>
          <w:numId w:val="7"/>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教师要求：教师应具备丰富的汽车维护实战经验。</w:t>
      </w:r>
    </w:p>
    <w:p w14:paraId="37B0FB09">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（2）教学条件：教学需在实训车间进行，结合实车与保养设备。</w:t>
      </w:r>
    </w:p>
    <w:p w14:paraId="475884BB">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（3）教学方法：采用演示教学、实操训练、角色扮演。</w:t>
      </w:r>
    </w:p>
    <w:p w14:paraId="072CEB52">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167E69B0">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bookmarkStart w:id="20" w:name="_Hlk207732405"/>
      <w:bookmarkStart w:id="21" w:name="_Hlk207736922"/>
      <w:r>
        <w:rPr>
          <w:rFonts w:hint="eastAsia" w:ascii="宋体" w:hAnsi="宋体" w:cs="宋体"/>
          <w:b/>
          <w:szCs w:val="21"/>
          <w:lang w:val="en-US" w:eastAsia="zh-CN"/>
        </w:rPr>
        <w:t>5</w:t>
      </w:r>
      <w:r>
        <w:rPr>
          <w:rFonts w:hint="eastAsia" w:ascii="宋体" w:hAnsi="宋体" w:cs="宋体"/>
          <w:b/>
          <w:szCs w:val="21"/>
        </w:rPr>
        <w:t>.汽车构造</w:t>
      </w:r>
    </w:p>
    <w:p w14:paraId="350A72F0">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29862402">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能够全面理解并熟练掌握汽车的基本构造，包括发动机、底盘、车身和电气系统等四大组成部分及其详细的工作原理；清晰分辨传统燃油汽车与新能源汽车在构造上的差异与联系；深入了解汽车行业的发展趋势，尤其是新能源汽车领域的新技术应用，如新型电池技术、电机控制系统等在汽车构造方面带来的变革。</w:t>
      </w:r>
    </w:p>
    <w:p w14:paraId="5AD11C96">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）能力目标：能够熟练运用所学的汽车构造理论知识，准确分析并有效解决汽车维修、检测过程中涉及构造方面的一般问题；正确且熟练地使用各类汽车维修工具和设备。</w:t>
      </w:r>
    </w:p>
    <w:p w14:paraId="10B058F3">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）素质目标：具备对新能源汽车构造技术钻研的热情；具有良好的团队合作精神，具备一定的社会责任感和职业道德。</w:t>
      </w:r>
    </w:p>
    <w:p w14:paraId="4BE53314">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1509E596">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（1）汽车总体认识；（2）发动机构造；（3）汽车底盘构造；（4）汽车车身构造；（5）汽车电气设备构造；（6）新能源汽车构造专题。</w:t>
      </w:r>
    </w:p>
    <w:p w14:paraId="7965CD8B">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09F52231">
      <w:pPr>
        <w:keepNext w:val="0"/>
        <w:keepLines w:val="0"/>
        <w:pageBreakBefore w:val="0"/>
        <w:numPr>
          <w:ilvl w:val="0"/>
          <w:numId w:val="8"/>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教师要求：熟悉汽车各部件的工作过程和装配关系，具备较强的汽车构造理论知识和汽车构造实践能力。</w:t>
      </w:r>
    </w:p>
    <w:p w14:paraId="477721F7">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（2）教学条件：多媒体辅助课件，实践课在汽车构造实训室，配置汽车构造仿真软件、虚拟实验室。</w:t>
      </w:r>
    </w:p>
    <w:p w14:paraId="463B25D3">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（3）教学方法：现场教学法、分组讨论法、直观演示法、动手实践法、自主学习法和任务驱动法。</w:t>
      </w:r>
    </w:p>
    <w:p w14:paraId="10CBCC21">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bookmarkEnd w:id="20"/>
      <w:r>
        <w:rPr>
          <w:rFonts w:hint="eastAsia" w:ascii="Times New Roman" w:hAnsi="Times New Roman" w:cs="宋体"/>
          <w:color w:val="000000"/>
          <w:szCs w:val="21"/>
          <w:shd w:val="clear" w:color="auto" w:fill="FFFFFF"/>
        </w:rPr>
        <w:t>。</w:t>
      </w:r>
      <w:bookmarkEnd w:id="21"/>
    </w:p>
    <w:p w14:paraId="755FAEF0">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bookmarkStart w:id="22" w:name="_Hlk207733246"/>
      <w:r>
        <w:rPr>
          <w:rFonts w:hint="eastAsia" w:ascii="宋体" w:hAnsi="宋体" w:cs="宋体"/>
          <w:b/>
          <w:szCs w:val="21"/>
        </w:rPr>
        <w:t>6.汽车发动机检测与维修</w:t>
      </w:r>
    </w:p>
    <w:p w14:paraId="0B1AA839">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071A70BE">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）知识目标：掌握发动机各大系统结构与工作原理；熟悉常见故障类型、检测方法与维修工艺。</w:t>
      </w:r>
    </w:p>
    <w:p w14:paraId="50D3383A">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）能力目标：能使用检测设备（如解码器、缸压表等）进行发动机性能分析；具备发动机总成拆装、部件检测与故障排除能力。</w:t>
      </w:r>
    </w:p>
    <w:p w14:paraId="6F7B513D">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）素质目标：培养严谨的维修态度、质量意识和团队协作精神。</w:t>
      </w:r>
    </w:p>
    <w:p w14:paraId="7F07D59E">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2AA9EF9E">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（1）发动机总体结构与工作原理；（2）曲柄连杆机构与配气机构；（3）燃油供给系统（电喷系统）；（4）冷却系统与润滑系统；（5）点火系统与排放控制系统；（6）发动机综合检测与故障诊断流程。</w:t>
      </w:r>
    </w:p>
    <w:p w14:paraId="75BD9701">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08C7E3CF">
      <w:pPr>
        <w:keepNext w:val="0"/>
        <w:keepLines w:val="0"/>
        <w:pageBreakBefore w:val="0"/>
        <w:numPr>
          <w:ilvl w:val="0"/>
          <w:numId w:val="9"/>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教师要求：教师需具备发动机大修经验。</w:t>
      </w:r>
    </w:p>
    <w:p w14:paraId="2E88D97A">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（2）教学条件：教学在发动机实训室进行，配备拆装台架与检测仪器。</w:t>
      </w:r>
    </w:p>
    <w:p w14:paraId="2D20014B">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（3）教学方法：采用项目教学、分组实操、案例分析法。</w:t>
      </w:r>
    </w:p>
    <w:p w14:paraId="61603110">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bookmarkEnd w:id="22"/>
    <w:p w14:paraId="65C8B782">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7.汽车底盘检测与维修</w:t>
      </w:r>
    </w:p>
    <w:p w14:paraId="1C1FBB42">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0EA44599">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）知识目标：掌握底盘四大系统（传动、行驶、转向、制动）的结构与工作原理；了解常见故障类型与修复方法。</w:t>
      </w:r>
    </w:p>
    <w:p w14:paraId="3F1AE648">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）能力目标：能进行底盘系统拆装、调试与性能检测；具备故障诊断与维修实施能力。</w:t>
      </w:r>
    </w:p>
    <w:p w14:paraId="1B235820">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）素质目标：培养细致负责的维修作风和安全意识。</w:t>
      </w:r>
    </w:p>
    <w:p w14:paraId="7D38D09A">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0CD503A4">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（1）传动系统：离合器、变速器、传动轴、驱动桥；（2）行驶系统：悬架、车轮、车桥；（3）转向系统：机械与助力转向结构；（4）制动系统：盘式/鼓式制动、ABS/ESP；（5）底盘系统检测与故障诊断方法。</w:t>
      </w:r>
    </w:p>
    <w:p w14:paraId="2581847D">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427FB0B5">
      <w:pPr>
        <w:keepNext w:val="0"/>
        <w:keepLines w:val="0"/>
        <w:pageBreakBefore w:val="0"/>
        <w:numPr>
          <w:ilvl w:val="0"/>
          <w:numId w:val="10"/>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教师要求：教师应熟悉底盘系统结构与维修。</w:t>
      </w:r>
    </w:p>
    <w:p w14:paraId="167FC8B7">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（2）教学条件：教学需在底盘实训区进行，使用举升机、四轮定位仪等。</w:t>
      </w:r>
    </w:p>
    <w:p w14:paraId="68883959">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（3）教学方法：采用任务驱动、实操训练、小组协作。</w:t>
      </w:r>
    </w:p>
    <w:p w14:paraId="24139600">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11D7D62C">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8.汽车电气系统检测与维修</w:t>
      </w:r>
    </w:p>
    <w:p w14:paraId="3AC5461B">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2F2E1ECD">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）知识目标：掌握汽车电气设备组成、工作原理与常见故障模式；了解电子控制系统基本原理。</w:t>
      </w:r>
    </w:p>
    <w:p w14:paraId="3CA6A17F">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）能力目标：能使用万用表、示波器、故障诊断仪进行电气系统检测与维修；具备电路分析、元件测试与系统调试能力。</w:t>
      </w:r>
    </w:p>
    <w:p w14:paraId="0FFB5074">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）素质目标：培养系统思维、故障排查能力和安全操作意识。</w:t>
      </w:r>
    </w:p>
    <w:p w14:paraId="792F787B">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1E230C4F">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电源系统：蓄电池、发电机、电压调节器；（2）起动系统与点火系统；（3）照明、信号与仪表系统；（4）辅助电器系统：雨刮、电动车窗、中控锁等；（5）电子控制基础：传感器、执行器、ECU；（6）电气系统故障诊断与维修案例。</w:t>
      </w:r>
    </w:p>
    <w:p w14:paraId="5CD8A0DE">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30487F3D">
      <w:pPr>
        <w:keepNext w:val="0"/>
        <w:keepLines w:val="0"/>
        <w:pageBreakBefore w:val="0"/>
        <w:numPr>
          <w:ilvl w:val="0"/>
          <w:numId w:val="11"/>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教师要求：教师应具备电气系统维修与诊断经验。</w:t>
      </w:r>
    </w:p>
    <w:p w14:paraId="319F9934">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（2）教学条件：教学使用电气实训台、示教板、仿真软件。</w:t>
      </w:r>
    </w:p>
    <w:p w14:paraId="082CAD53">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（3）教学方法：采用案例分析、实操训练、项目教学。</w:t>
      </w:r>
    </w:p>
    <w:p w14:paraId="5E69F907">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558677AD">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bookmarkStart w:id="23" w:name="_Hlk207734941"/>
      <w:r>
        <w:rPr>
          <w:rFonts w:hint="eastAsia" w:ascii="宋体" w:hAnsi="宋体" w:cs="宋体"/>
          <w:b/>
          <w:szCs w:val="21"/>
        </w:rPr>
        <w:t>9.汽车检测与故障诊断</w:t>
      </w:r>
    </w:p>
    <w:p w14:paraId="4860017E">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45076702">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）知识目标：掌握汽车性能检测国家标准与方法；理解各系统故障诊断流程与策略。</w:t>
      </w:r>
    </w:p>
    <w:p w14:paraId="076A0EE4">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）能力目标：能使用诊断设备进行整车性能检测与数据分析；具备综合故障诊断与维修方案制定能力。</w:t>
      </w:r>
    </w:p>
    <w:p w14:paraId="589BBDD4">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）素质目标：培养系统思维、责任意识和客户服务能力。</w:t>
      </w:r>
    </w:p>
    <w:p w14:paraId="13BC94B1">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67A79AFD">
      <w:pPr>
        <w:pStyle w:val="24"/>
        <w:keepNext w:val="0"/>
        <w:keepLines w:val="0"/>
        <w:pageBreakBefore w:val="0"/>
        <w:wordWrap/>
        <w:topLinePunct w:val="0"/>
        <w:bidi w:val="0"/>
        <w:spacing w:line="400" w:lineRule="exact"/>
        <w:ind w:left="113" w:right="102" w:firstLine="210" w:firstLineChars="100"/>
        <w:rPr>
          <w:rFonts w:hint="eastAsia"/>
          <w:bCs/>
          <w:lang w:eastAsia="zh-CN"/>
        </w:rPr>
      </w:pPr>
      <w:r>
        <w:rPr>
          <w:rFonts w:hint="eastAsia"/>
          <w:bCs/>
          <w:lang w:eastAsia="zh-CN"/>
        </w:rPr>
        <w:t>（1）汽车检测标准与设备使用；（2发动机性能检测：功率、油耗、排放等；（3底盘性能检测：制动、侧滑、转向等；（4）电气系统性能检测；（5整车故障诊断流程与案例综合训练。</w:t>
      </w:r>
    </w:p>
    <w:p w14:paraId="51DC03B9">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28B35752">
      <w:pPr>
        <w:keepNext w:val="0"/>
        <w:keepLines w:val="0"/>
        <w:pageBreakBefore w:val="0"/>
        <w:numPr>
          <w:ilvl w:val="0"/>
          <w:numId w:val="12"/>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教师要求：教师应具备丰富的整车诊断经验。</w:t>
      </w:r>
    </w:p>
    <w:p w14:paraId="1C887257">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（2）教学条件：教学需在检测线上进行，使用诊断仪、检测设备。</w:t>
      </w:r>
    </w:p>
    <w:p w14:paraId="101E0BF0">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（3）教学方法：采用案例教学、模拟诊断、实操考核。</w:t>
      </w:r>
    </w:p>
    <w:p w14:paraId="4DF03D12">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bookmarkEnd w:id="23"/>
    <w:p w14:paraId="044DFF1D">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10.新能源汽车技术</w:t>
      </w:r>
    </w:p>
    <w:p w14:paraId="57C24A95">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22CC0124">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）知识目标：掌握新能源汽车类型（BEV、PHEV、FCEV等）与结构特点；理解电池、电机、电控等关键技术；了解高压安全与充电设施。</w:t>
      </w:r>
    </w:p>
    <w:p w14:paraId="436D44B2">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）能力目标：能进行新能源汽车高压系统安全操作与基本维护；具备常见故障诊断与处理能力。</w:t>
      </w:r>
    </w:p>
    <w:p w14:paraId="2A44BA1A">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）素质目标：培养对新能源技术的兴趣，增强环保与安全意识。</w:t>
      </w:r>
    </w:p>
    <w:p w14:paraId="1A7E2FE6">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10D7A501">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（1）新能源汽车概述与发展趋势；（2）电动汽车动力电池与管理系统（BMS）；（3驱动电机与控制系统；（4）高压系统结构与安全操作；（5）充电技术与设施；（6）新能源汽车维护与故障诊断基础。</w:t>
      </w:r>
    </w:p>
    <w:p w14:paraId="5EB453D9">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2F210D9C">
      <w:pPr>
        <w:keepNext w:val="0"/>
        <w:keepLines w:val="0"/>
        <w:pageBreakBefore w:val="0"/>
        <w:numPr>
          <w:ilvl w:val="0"/>
          <w:numId w:val="13"/>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教师要求：教师应具备新能源汽车维修资质与经验。</w:t>
      </w:r>
    </w:p>
    <w:p w14:paraId="33B45530">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（2）教学条件：教学使用新能源实训车、高压操作工具、仿真平台。</w:t>
      </w:r>
    </w:p>
    <w:p w14:paraId="2FFFA195">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（3）教学方法：采用理论讲授、虚拟实训、实操演练。</w:t>
      </w:r>
    </w:p>
    <w:p w14:paraId="28085E4A">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07E5BF83">
      <w:pPr>
        <w:keepNext w:val="0"/>
        <w:keepLines w:val="0"/>
        <w:pageBreakBefore w:val="0"/>
        <w:wordWrap/>
        <w:topLinePunct w:val="0"/>
        <w:bidi w:val="0"/>
        <w:adjustRightInd w:val="0"/>
        <w:snapToGrid w:val="0"/>
        <w:spacing w:line="400" w:lineRule="exact"/>
        <w:ind w:firstLine="420" w:firstLineChars="200"/>
        <w:rPr>
          <w:rFonts w:hint="eastAsia" w:ascii="宋体" w:hAnsi="宋体" w:eastAsia="宋体" w:cs="宋体"/>
          <w:i w:val="0"/>
          <w:caps w:val="0"/>
          <w:color w:val="2A2A2A"/>
          <w:spacing w:val="0"/>
          <w:kern w:val="0"/>
          <w:sz w:val="21"/>
          <w:szCs w:val="21"/>
          <w:shd w:val="clear" w:color="auto" w:fill="FFFFFF"/>
          <w:lang w:val="en-US" w:eastAsia="zh-CN" w:bidi="ar"/>
        </w:rPr>
      </w:pPr>
      <w:r>
        <w:rPr>
          <w:rFonts w:hint="eastAsia" w:ascii="宋体" w:hAnsi="宋体" w:eastAsia="宋体" w:cs="宋体"/>
          <w:i w:val="0"/>
          <w:caps w:val="0"/>
          <w:color w:val="2A2A2A"/>
          <w:spacing w:val="0"/>
          <w:kern w:val="0"/>
          <w:sz w:val="21"/>
          <w:szCs w:val="21"/>
          <w:shd w:val="clear" w:color="auto" w:fill="FFFFFF"/>
          <w:lang w:val="en-US" w:eastAsia="zh-CN" w:bidi="ar"/>
        </w:rPr>
        <w:t>专业选修课包含专业限选课程和专业任选课程两类，其中专业限选课程有《事故车查勘与定损》《二手车鉴定与评估》《汽车电器与电子控制技术》《汽车涂装技术》《汽车维修技术及设备》5门课程，共计12学分；专业任选课程有《金属工艺学》《汽车文化》《汽车专业英语》《汽车钣金技术》《智能网联汽车基础》《新能源汽车结构与原理》《汽车美容》《汽车保险与理赔》《汽车市场营销》9门课程，学生需选够4学分；共计16学分。</w:t>
      </w:r>
    </w:p>
    <w:p w14:paraId="6AAE5591">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1.事故车查勘与定损</w:t>
      </w:r>
    </w:p>
    <w:p w14:paraId="445F84DF">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0480E524">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）知识目标：掌握事故车查勘流程、损伤评估原则、维修工时与配件定价标准；熟悉保险理赔相关法律法规、保险合同条款及理赔流程；了解常见事故类型对车辆结构及安全性能的影响。</w:t>
      </w:r>
    </w:p>
    <w:p w14:paraId="1FEE680A">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）能力目标：能够独立完成事故现场查勘、损伤记录与拍照取证；具备事故车维修方案制定与损失金额评估的能力；能使用定损软件系统进行理赔资料录入与审核。</w:t>
      </w:r>
    </w:p>
    <w:p w14:paraId="4D8B06F4">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）素质目标：培养客观公正的职业态度，增强沟通协调能力和法律意识，树立诚信服务的职业道德。</w:t>
      </w:r>
    </w:p>
    <w:p w14:paraId="275403D2">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5C9B2077">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事故车查勘基础与流程规范；（2）车辆损伤类型与评估方法；（3）维修工时定额与配件价格体系；（4）保险理赔法律法规与合同解读；（5）查勘报告编写与理赔资料管理；（6）典型案例分析与模拟查勘训练。</w:t>
      </w:r>
    </w:p>
    <w:p w14:paraId="699DF573">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296E3428">
      <w:pPr>
        <w:keepNext w:val="0"/>
        <w:keepLines w:val="0"/>
        <w:pageBreakBefore w:val="0"/>
        <w:numPr>
          <w:ilvl w:val="0"/>
          <w:numId w:val="14"/>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教师要求：教师应具备保险理赔或事故车定损实际工作经验。</w:t>
      </w:r>
    </w:p>
    <w:p w14:paraId="17A980EA">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（2）教学条件：教学需配备事故车图片库、定损软件模拟系统、查勘工具包。</w:t>
      </w:r>
    </w:p>
    <w:p w14:paraId="3C7E2149">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（3）教学方法：采用案例教学、角色扮演、模拟查勘实训等方式。</w:t>
      </w:r>
    </w:p>
    <w:p w14:paraId="386C741F">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5DC814CE">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2.二手车鉴定与评估</w:t>
      </w:r>
    </w:p>
    <w:p w14:paraId="04D25BFC">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343B8659">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）知识目标：掌握二手车技术状况鉴定方法、评估理论与价格构成要素；熟悉二手车市场行情、政策法规及交易流程；了解事故车、泡水车、火烧车等特殊车辆的鉴别技巧。</w:t>
      </w:r>
    </w:p>
    <w:p w14:paraId="3A2EC799">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）能力目标：能够独立完成二手车静态与动态检测，识别常见缺陷与故障；具备车辆价值评估与撰写评估报告的能力；能使用评估软件与工具进行市场价比对。</w:t>
      </w:r>
    </w:p>
    <w:p w14:paraId="0C127558">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）素质目标：培养严谨客观的评估态度，增强市场洞察力和客户沟通能力，树立诚信经营意识。</w:t>
      </w:r>
    </w:p>
    <w:p w14:paraId="19D5D96E">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2E061553">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二手车市场概述与政策法规；（2）车辆技术状况鉴定：外观、内饰、底盘、发动机等；（3）事故车与特殊车辆鉴别方法；（4）二手车评估方法：成本法、市场法、收益法；（5）评估报告撰写与案例实操；（6）二手车交易流程与风险管理。</w:t>
      </w:r>
    </w:p>
    <w:p w14:paraId="63FC8A34">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4AF79F67">
      <w:pPr>
        <w:keepNext w:val="0"/>
        <w:keepLines w:val="0"/>
        <w:pageBreakBefore w:val="0"/>
        <w:numPr>
          <w:ilvl w:val="0"/>
          <w:numId w:val="15"/>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教师要求：教师应具有二手车评估师资质或相关行业经验。</w:t>
      </w:r>
    </w:p>
    <w:p w14:paraId="4EAD05DF">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（2）教学条件：教学需配备实车检测场地、评估工具、市场价格数据库。</w:t>
      </w:r>
    </w:p>
    <w:p w14:paraId="74A2A453">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（3）教学方法：采用实车检测、小组评估、市场调研等教学方法。</w:t>
      </w:r>
    </w:p>
    <w:p w14:paraId="50BD05C2">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6A7669AB">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3.汽车电器与电子控制技术</w:t>
      </w:r>
    </w:p>
    <w:p w14:paraId="347CE23E">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40C6C5A0">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）知识目标：掌握汽车电器系统与电子控制单元（ECU）的基本结构与工作原理；理解传感器、执行器、控制器之间的信号传递与控制逻辑；熟悉常见电子系统的故障类型与诊断策略。</w:t>
      </w:r>
    </w:p>
    <w:p w14:paraId="775DE12F">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）能力目标：能够使用诊断仪、示波器等设备进行电子系统检测与数据分析；具备电路图识读、信号测量与系统调试能力；能初步进行ECU编程与匹配操作。</w:t>
      </w:r>
    </w:p>
    <w:p w14:paraId="369CDDD8">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）素质目标：培养系统思维与技术创新意识，增强安全操作和团队协作能力。</w:t>
      </w:r>
    </w:p>
    <w:p w14:paraId="42F46379">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589042A8">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汽车电子技术基础：电路、传感器、执行器；（2）发动机电子控制系统（EMS）；（3）自动变速器电子控制；（4）车身电子系统：空调、安全气囊、防盗系统等；（5）车载网络系统（CAN/LIN总线）；（6）电子系统故障诊断与案例分析。</w:t>
      </w:r>
    </w:p>
    <w:p w14:paraId="2FA183D6">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5A1CD5F1">
      <w:pPr>
        <w:keepNext w:val="0"/>
        <w:keepLines w:val="0"/>
        <w:pageBreakBefore w:val="0"/>
        <w:numPr>
          <w:ilvl w:val="0"/>
          <w:numId w:val="16"/>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教师要求：教师应具备汽车电子系统维修与诊断经验。</w:t>
      </w:r>
    </w:p>
    <w:p w14:paraId="20DDEFAF">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（2）教学条件：教学需使用电子实训台、诊断仪、示波器、仿真软件。</w:t>
      </w:r>
    </w:p>
    <w:p w14:paraId="29BE44B2">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（3）教学方法：采用项目教学、故障模拟、实操训练。</w:t>
      </w:r>
    </w:p>
    <w:p w14:paraId="551BDC3D">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45EABFC4">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4.汽车涂装技术</w:t>
      </w:r>
    </w:p>
    <w:p w14:paraId="3C99062D">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2E0D5AFA">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）知识目标：掌握汽车涂装工艺流程、涂料分类与性能特点；熟悉表面处理、调色、喷涂、烘烤等环节的技术要求；了解环保与安全规范在涂装作业中的重要性。</w:t>
      </w:r>
    </w:p>
    <w:p w14:paraId="117C3C22">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）能力目标：能够进行车身表面预处理、调色匹配、喷涂操作及后期抛光处理；具备常见涂装缺陷分析与修复能力。</w:t>
      </w:r>
    </w:p>
    <w:p w14:paraId="018C5810">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）素质目标：培养精益求精的工匠精神，增强环保意识与职业健康安全意识。</w:t>
      </w:r>
    </w:p>
    <w:p w14:paraId="1CECFFBC">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5B8C98A0">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（1）涂装材料与设备基础；（2）表面处理：除锈、打磨、清洁；（3）调色理论与实操；（4）喷涂技术与工艺流程；（5）涂装缺陷分析与修复；（6）环保与安全规范。</w:t>
      </w:r>
    </w:p>
    <w:p w14:paraId="049B8AE9">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1C7DAD52">
      <w:pPr>
        <w:keepNext w:val="0"/>
        <w:keepLines w:val="0"/>
        <w:pageBreakBefore w:val="0"/>
        <w:numPr>
          <w:ilvl w:val="0"/>
          <w:numId w:val="17"/>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教师要求：教师应具备汽车涂装实际操作经验。</w:t>
      </w:r>
    </w:p>
    <w:p w14:paraId="5E258F00">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（2）教学条件：教学需在喷漆实训室进行，配备喷枪、调色机、烤漆房等。</w:t>
      </w:r>
    </w:p>
    <w:p w14:paraId="594E9A29">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（3）教学方法：采用演示教学、实操训练、项目作业。</w:t>
      </w:r>
    </w:p>
    <w:p w14:paraId="65EE75E5">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539CBD47">
      <w:pPr>
        <w:keepNext w:val="0"/>
        <w:keepLines w:val="0"/>
        <w:pageBreakBefore w:val="0"/>
        <w:wordWrap/>
        <w:topLinePunct w:val="0"/>
        <w:bidi w:val="0"/>
        <w:adjustRightInd w:val="0"/>
        <w:snapToGrid w:val="0"/>
        <w:spacing w:line="400" w:lineRule="exact"/>
        <w:ind w:firstLine="422" w:firstLineChars="200"/>
        <w:rPr>
          <w:rFonts w:ascii="宋体" w:hAnsi="宋体" w:cs="宋体"/>
          <w:b/>
          <w:szCs w:val="21"/>
        </w:rPr>
      </w:pPr>
      <w:r>
        <w:rPr>
          <w:rFonts w:hint="eastAsia" w:ascii="宋体" w:hAnsi="宋体" w:cs="宋体"/>
          <w:b/>
          <w:szCs w:val="21"/>
        </w:rPr>
        <w:t>5.汽车维修技术及设备</w:t>
      </w:r>
    </w:p>
    <w:p w14:paraId="15618726">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0CE41EC7">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系统掌握现代汽车维修作业的基本理念、工艺流程和技术规范；熟悉各类常见汽车维修设备（如举升机、故障诊断仪、轮胎拆装机、四轮定位仪、冷媒回收机、制动液更换机等）的工作原理、适用范围及安全操作规程；深入了解不同维修场景下工具与设备的选型原则及其对维修质量与效率的影响。</w:t>
      </w:r>
    </w:p>
    <w:p w14:paraId="74A1BCEC">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根据维修任务独立选择合适的工具与设备，并规范、熟练地进行操作；具备制定一般维修作业方案的能力，并能在作业中有效运用技术标准；能够对常用维修设备进行日常检查与基本维护，并能初步诊断设备常见故障。</w:t>
      </w:r>
    </w:p>
    <w:p w14:paraId="5F582A94">
      <w:pPr>
        <w:pStyle w:val="24"/>
        <w:keepNext w:val="0"/>
        <w:keepLines w:val="0"/>
        <w:pageBreakBefore w:val="0"/>
        <w:wordWrap/>
        <w:topLinePunct w:val="0"/>
        <w:bidi w:val="0"/>
        <w:spacing w:line="400" w:lineRule="exact"/>
        <w:ind w:right="102" w:firstLine="420" w:firstLineChars="200"/>
        <w:rPr>
          <w:rFonts w:hint="eastAsia"/>
          <w:bCs/>
          <w:color w:val="FF0000"/>
          <w:lang w:eastAsia="zh-CN"/>
        </w:rPr>
      </w:pPr>
      <w:r>
        <w:rPr>
          <w:rFonts w:hint="eastAsia"/>
          <w:bCs/>
          <w:lang w:eastAsia="zh-CN"/>
        </w:rPr>
        <w:t>（</w:t>
      </w:r>
      <w:r>
        <w:rPr>
          <w:bCs/>
          <w:lang w:eastAsia="zh-CN"/>
        </w:rPr>
        <w:t>3</w:t>
      </w:r>
      <w:r>
        <w:rPr>
          <w:rFonts w:hint="eastAsia"/>
          <w:bCs/>
          <w:lang w:eastAsia="zh-CN"/>
        </w:rPr>
        <w:t>）素质目标：培养规范操作、安全第一的职业习惯，树立严谨细致的工匠精神和节约资源、保护设备的意识；增强在维修团队中协同作业、高效沟通的协作能力。</w:t>
      </w:r>
    </w:p>
    <w:p w14:paraId="3BFA7EF1">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50BFBBA5">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现代汽车维修概论：维修理念发展、维修工艺组织与质量管理；（2）通用工具与专用工具的正确使用与管理；（3）车辆举升与支撑设备：安全操作规范与注意事项；（4）诊断检测设备：解码器、示波器、万用表等的深入应用；（5）总成拆装与更换设备：如变速箱托架、发动机吊机等；（6）制动、轮胎、空调系统专项维修设备。</w:t>
      </w:r>
    </w:p>
    <w:p w14:paraId="7830DB4D">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777CC896">
      <w:pPr>
        <w:keepNext w:val="0"/>
        <w:keepLines w:val="0"/>
        <w:pageBreakBefore w:val="0"/>
        <w:numPr>
          <w:ilvl w:val="0"/>
          <w:numId w:val="18"/>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教师要求：授课教师必须具备丰富的汽车一线维修实践经验，熟悉各类维修设备的使用与维护，能熟练演示规范操作。</w:t>
      </w:r>
    </w:p>
    <w:p w14:paraId="01FCD7E5">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（2）教学条件：教学必须在设备齐全的汽车维修实训中心进行，确保生均实操设备充足，并配备完善的多媒体资源用于展示设备内部结构和工作原理。</w:t>
      </w:r>
    </w:p>
    <w:p w14:paraId="01BB5463">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（3）教学方法：采用“理论讲解 + 教师演示 + 学生分组实操”一体化教学模式，强化任务驱动法和角色扮演法，模拟真实维修车间工作流程。</w:t>
      </w:r>
    </w:p>
    <w:p w14:paraId="0762D290">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48BDB479">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bookmarkStart w:id="24" w:name="_Hlk208403215"/>
      <w:r>
        <w:rPr>
          <w:rFonts w:hint="eastAsia" w:ascii="宋体" w:hAnsi="宋体" w:cs="宋体"/>
          <w:b/>
          <w:szCs w:val="21"/>
        </w:rPr>
        <w:t xml:space="preserve">6.金属工艺学 </w:t>
      </w:r>
    </w:p>
    <w:p w14:paraId="5E365DCC">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6760E88C">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）知识目标：系统掌握金属材料的性能、分类及热处理工艺；熟悉铸造、锻造、焊接、切削加工等金属成型与加工方法的基本原理和工艺流程；了解金属材料的腐蚀与防护知识，以及新材料在汽车工业中的应用。</w:t>
      </w:r>
    </w:p>
    <w:p w14:paraId="510B6F1F">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）能力目标：能够根据零件使用要求合理选用金属材料及热处理工艺；具备辨识常见金属加工缺陷的能力，并能提出改进措施；掌握基本的金属加工安全操作规程。</w:t>
      </w:r>
    </w:p>
    <w:p w14:paraId="57E381FF">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bCs/>
        </w:rPr>
        <w:t>（</w:t>
      </w:r>
      <w:r>
        <w:rPr>
          <w:bCs/>
        </w:rPr>
        <w:t>3</w:t>
      </w:r>
      <w:r>
        <w:rPr>
          <w:rFonts w:hint="eastAsia"/>
          <w:bCs/>
        </w:rPr>
        <w:t>）素质目标：培养严谨求实的工程材料素养，增强质量意识和成本观念，树立安全、环保的生产理念。</w:t>
      </w:r>
    </w:p>
    <w:p w14:paraId="5649084A">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4E6721F7">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金属材料的性能：力学性能、物理性能、工艺性能；（2）金属材料的热处理原理与工艺：退火、正火、淬火、回火及表面热处理；（3）金属的液态成型：铸造工艺及缺陷分析；（4）金属的塑性成型：锻造、冲压工艺；（5）金属的连接成型：各种焊接方法及工艺；（6）金属的切削加工：车、铣、刨、磨、钻等。</w:t>
      </w:r>
    </w:p>
    <w:p w14:paraId="76A983F0">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77FECF4F">
      <w:pPr>
        <w:keepNext w:val="0"/>
        <w:keepLines w:val="0"/>
        <w:pageBreakBefore w:val="0"/>
        <w:numPr>
          <w:ilvl w:val="0"/>
          <w:numId w:val="19"/>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教师要求：具备材料科学与工程或机械制造背景，熟悉金属加工实践。</w:t>
      </w:r>
    </w:p>
    <w:p w14:paraId="1B61505D">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（2）教学条件：多媒体教室、金相实验室、加工实训室（配备热处理炉、焊接设备、机床等）。</w:t>
      </w:r>
    </w:p>
    <w:p w14:paraId="62E0B214">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（3）教学方法：采用理论讲授、实验验证、现场观摩、案例讨论相结合的方式。</w:t>
      </w:r>
    </w:p>
    <w:p w14:paraId="2ED46AB7">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bookmarkEnd w:id="24"/>
    <w:p w14:paraId="427CF58B">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r>
        <w:rPr>
          <w:rFonts w:hint="eastAsia" w:ascii="宋体" w:hAnsi="宋体" w:cs="宋体"/>
          <w:b/>
          <w:szCs w:val="21"/>
        </w:rPr>
        <w:t xml:space="preserve">7.汽车文化 </w:t>
      </w:r>
    </w:p>
    <w:p w14:paraId="03BDAEFF">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59692C28">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 了解世界汽车发展史、著名汽车公司与品牌文化；熟悉汽车运动、汽车收藏等汽车文化表现形式；掌握汽车与社会、经济、环境相互作用的基本知识。</w:t>
      </w:r>
    </w:p>
    <w:p w14:paraId="2F4D674A">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）能力目标：能够鉴赏汽车设计美学，解读汽车文化现象；具备一定的汽车品牌历史与车型演变的讲解能力。</w:t>
      </w:r>
    </w:p>
    <w:p w14:paraId="00897F39">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bCs/>
        </w:rPr>
        <w:t>（</w:t>
      </w:r>
      <w:r>
        <w:rPr>
          <w:bCs/>
        </w:rPr>
        <w:t>3</w:t>
      </w:r>
      <w:r>
        <w:rPr>
          <w:rFonts w:hint="eastAsia"/>
          <w:bCs/>
        </w:rPr>
        <w:t>）素质目标：培养对汽车产业的兴趣和热爱，提升人文素养和品牌忠诚度意识。</w:t>
      </w:r>
    </w:p>
    <w:p w14:paraId="4562D9CE">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25D48A89">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汽车的诞生与世界汽车工业发展历程；（2）著名汽车公司、品牌及其文化内涵；（3）汽车外形与色彩的演变与鉴赏；（4）汽车运动（F1、WRC等）与文化；（5）汽车与社会：环保、能源、交通等；（6）汽车公害与未来汽车发展趋势。</w:t>
      </w:r>
    </w:p>
    <w:p w14:paraId="33AC48AF">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5D95728D">
      <w:pPr>
        <w:keepNext w:val="0"/>
        <w:keepLines w:val="0"/>
        <w:pageBreakBefore w:val="0"/>
        <w:numPr>
          <w:ilvl w:val="0"/>
          <w:numId w:val="20"/>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教师要求：知识面广，对汽车历史和文化有深入研究。</w:t>
      </w:r>
    </w:p>
    <w:p w14:paraId="1DEA5E5A">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（2）教学条件：多媒体教室，丰富的视频、图片资料库。</w:t>
      </w:r>
    </w:p>
    <w:p w14:paraId="64EFE4C8">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（3）教学方法：采用课堂讲授、专题讲座、影视欣赏、小组讨论、辩论赛等形式。</w:t>
      </w:r>
    </w:p>
    <w:p w14:paraId="49EB9F95">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3B036C1B">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r>
        <w:rPr>
          <w:rFonts w:hint="eastAsia" w:ascii="宋体" w:hAnsi="宋体" w:cs="宋体"/>
          <w:b/>
          <w:szCs w:val="21"/>
        </w:rPr>
        <w:t xml:space="preserve">8.汽车专业英语 </w:t>
      </w:r>
    </w:p>
    <w:p w14:paraId="5C5F1AC4">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2BB3F361">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 掌握汽车构造、维修、检测、营销等领域的专业英语词汇和术语；熟悉科技英语的语法特点和翻译技巧；了解英文维修手册、技术资料的结构与阅读方法。</w:t>
      </w:r>
    </w:p>
    <w:p w14:paraId="3C05AC7B">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）能力目标：能够借助工具书阅读和翻译一般的英文汽车技术资料；具备基本的专业技术交流能力（如阅读英文故障码、操作英文界面诊断设备）。</w:t>
      </w:r>
    </w:p>
    <w:p w14:paraId="61A8D97B">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bCs/>
        </w:rPr>
        <w:t>（</w:t>
      </w:r>
      <w:r>
        <w:rPr>
          <w:bCs/>
        </w:rPr>
        <w:t>3</w:t>
      </w:r>
      <w:r>
        <w:rPr>
          <w:rFonts w:hint="eastAsia"/>
          <w:bCs/>
        </w:rPr>
        <w:t>）素质目标：培养国际化视野和跨文化交流能力，为后续深造或进入外资企业打下基础。</w:t>
      </w:r>
    </w:p>
    <w:p w14:paraId="5CD58F7B">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4F74643E">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汽车各系统构造的专业英语词汇；（2）汽车维修保养用语及对话；（3英文汽车技术资料（维修手册、零件目录）阅读；（4）英文诊断设备界面操作与故障码解读；（5）汽车商务英语（询价、合同、电邮）基础；（6）专业英语翻译技巧。</w:t>
      </w:r>
    </w:p>
    <w:p w14:paraId="33219B18">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60E04327">
      <w:pPr>
        <w:keepNext w:val="0"/>
        <w:keepLines w:val="0"/>
        <w:pageBreakBefore w:val="0"/>
        <w:numPr>
          <w:ilvl w:val="0"/>
          <w:numId w:val="21"/>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教师要求：具备扎实的英语功底和汽车专业知识，或有汽车行业英语应用经验。</w:t>
      </w:r>
    </w:p>
    <w:p w14:paraId="62E29168">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（2）教学条件：多媒体语言教室，配备专业英语学习软件和丰富的原文技术资料。</w:t>
      </w:r>
    </w:p>
    <w:p w14:paraId="16C791A8">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（3）教学方法：采用情景教学、任务驱动、小组翻译练习、模拟技术对话等方式。</w:t>
      </w:r>
    </w:p>
    <w:p w14:paraId="4192A631">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1AF71C3B">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r>
        <w:rPr>
          <w:rFonts w:hint="eastAsia" w:ascii="宋体" w:hAnsi="宋体" w:cs="宋体"/>
          <w:b/>
          <w:szCs w:val="21"/>
        </w:rPr>
        <w:t xml:space="preserve">9.汽车钣金技术 </w:t>
      </w:r>
    </w:p>
    <w:p w14:paraId="0A11912D">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7FFCFE95">
      <w:pPr>
        <w:pStyle w:val="24"/>
        <w:keepNext w:val="0"/>
        <w:keepLines w:val="0"/>
        <w:pageBreakBefore w:val="0"/>
        <w:widowControl w:val="0"/>
        <w:kinsoku/>
        <w:wordWrap/>
        <w:overflowPunct/>
        <w:topLinePunct w:val="0"/>
        <w:autoSpaceDE/>
        <w:autoSpaceDN/>
        <w:bidi w:val="0"/>
        <w:adjustRightInd/>
        <w:snapToGrid/>
        <w:spacing w:line="400" w:lineRule="exact"/>
        <w:ind w:right="102" w:firstLine="420" w:firstLineChars="200"/>
        <w:textAlignment w:val="auto"/>
        <w:rPr>
          <w:rFonts w:hint="eastAsia"/>
          <w:bCs/>
          <w:lang w:eastAsia="zh-CN"/>
        </w:rPr>
      </w:pPr>
      <w:r>
        <w:rPr>
          <w:rFonts w:hint="eastAsia"/>
          <w:bCs/>
          <w:lang w:eastAsia="zh-CN"/>
        </w:rPr>
        <w:t>（</w:t>
      </w:r>
      <w:r>
        <w:rPr>
          <w:bCs/>
          <w:lang w:eastAsia="zh-CN"/>
        </w:rPr>
        <w:t>1</w:t>
      </w:r>
      <w:r>
        <w:rPr>
          <w:rFonts w:hint="eastAsia"/>
          <w:bCs/>
          <w:lang w:eastAsia="zh-CN"/>
        </w:rPr>
        <w:t>）知识目标： 掌握汽车车身结构、材料特性及钣金修复理论知识；熟悉车身测量与校正设备的原理和使用方法；了解各种钣金工具的使用和修复工艺流程。</w:t>
      </w:r>
    </w:p>
    <w:p w14:paraId="42B3B0DB">
      <w:pPr>
        <w:pStyle w:val="24"/>
        <w:keepNext w:val="0"/>
        <w:keepLines w:val="0"/>
        <w:pageBreakBefore w:val="0"/>
        <w:widowControl w:val="0"/>
        <w:kinsoku/>
        <w:wordWrap/>
        <w:overflowPunct/>
        <w:topLinePunct w:val="0"/>
        <w:autoSpaceDE/>
        <w:autoSpaceDN/>
        <w:bidi w:val="0"/>
        <w:adjustRightInd/>
        <w:snapToGrid/>
        <w:spacing w:line="400" w:lineRule="exact"/>
        <w:ind w:right="102" w:firstLine="420" w:firstLineChars="200"/>
        <w:textAlignment w:val="auto"/>
        <w:rPr>
          <w:rFonts w:hint="eastAsia"/>
          <w:bCs/>
          <w:lang w:eastAsia="zh-CN"/>
        </w:rPr>
      </w:pPr>
      <w:r>
        <w:rPr>
          <w:rFonts w:hint="eastAsia"/>
          <w:bCs/>
          <w:lang w:eastAsia="zh-CN"/>
        </w:rPr>
        <w:t>（</w:t>
      </w:r>
      <w:r>
        <w:rPr>
          <w:bCs/>
          <w:lang w:eastAsia="zh-CN"/>
        </w:rPr>
        <w:t>2</w:t>
      </w:r>
      <w:r>
        <w:rPr>
          <w:rFonts w:hint="eastAsia"/>
          <w:bCs/>
          <w:lang w:eastAsia="zh-CN"/>
        </w:rPr>
        <w:t>）能力目标：能够进行车身损伤分析，制定修复方案；熟练使用车身校正仪、钣金工具及设备进行修复作业；具备车身板件更换与调整的能力。</w:t>
      </w:r>
    </w:p>
    <w:p w14:paraId="2F371F9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cs="宋体"/>
          <w:color w:val="000000"/>
          <w:szCs w:val="21"/>
          <w:shd w:val="clear" w:color="auto" w:fill="FFFFFF"/>
        </w:rPr>
      </w:pPr>
      <w:r>
        <w:rPr>
          <w:rFonts w:hint="eastAsia"/>
          <w:bCs/>
        </w:rPr>
        <w:t>（</w:t>
      </w:r>
      <w:r>
        <w:rPr>
          <w:bCs/>
        </w:rPr>
        <w:t>3</w:t>
      </w:r>
      <w:r>
        <w:rPr>
          <w:rFonts w:hint="eastAsia"/>
          <w:bCs/>
        </w:rPr>
        <w:t>）素质目标：培养精益求精的工匠精神，增强安全操作意识和工作效率观念。</w:t>
      </w:r>
    </w:p>
    <w:p w14:paraId="30CAB6E7">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7A60630B">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（1）车身结构与材料；（2）车身损伤类型与分析；（3）车身测量技术；（4）车身校正设备与工艺；（5）板件修复、更换与调整；（6）车身连接技术（焊接、铆接、粘接）。</w:t>
      </w:r>
    </w:p>
    <w:p w14:paraId="58B0E07C">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0D203886">
      <w:pPr>
        <w:keepNext w:val="0"/>
        <w:keepLines w:val="0"/>
        <w:pageBreakBefore w:val="0"/>
        <w:numPr>
          <w:ilvl w:val="0"/>
          <w:numId w:val="22"/>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教师要求：具备丰富的汽车钣金实际操作经验。</w:t>
      </w:r>
    </w:p>
    <w:p w14:paraId="631BEA4C">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（2）教学条件：专用钣金实训车间，配备车身校正仪、焊接设备、各种钣金工具及实训车辆。</w:t>
      </w:r>
    </w:p>
    <w:p w14:paraId="62BB5430">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（3）教学方法：采用演示教学、实操训练、项目作业。</w:t>
      </w:r>
    </w:p>
    <w:p w14:paraId="2E1E2726">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4614B203">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bookmarkStart w:id="25" w:name="_Hlk208404829"/>
      <w:r>
        <w:rPr>
          <w:rFonts w:hint="eastAsia" w:ascii="宋体" w:hAnsi="宋体" w:cs="宋体"/>
          <w:b/>
          <w:szCs w:val="21"/>
          <w:lang w:val="en-US" w:eastAsia="zh-CN"/>
        </w:rPr>
        <w:t>1</w:t>
      </w:r>
      <w:r>
        <w:rPr>
          <w:rFonts w:hint="eastAsia" w:ascii="宋体" w:hAnsi="宋体" w:cs="宋体"/>
          <w:b/>
          <w:szCs w:val="21"/>
        </w:rPr>
        <w:t xml:space="preserve">0.智能网联汽车基础 </w:t>
      </w:r>
    </w:p>
    <w:p w14:paraId="6039D60D">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1DFFF99F">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 掌握智能网联汽车的基本概念、系统架构与关键技术；了解环境感知、决策规划、车辆控制、V2X通信等核心技术原理；熟悉相关国家标准与发展趋势。</w:t>
      </w:r>
    </w:p>
    <w:p w14:paraId="25B20EA8">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）能力目标：能够进行智能传感器标定、系统功能测试与基本故障排查；具备智能驾驶系统辅助调试与数据分析能力。。</w:t>
      </w:r>
    </w:p>
    <w:p w14:paraId="73CD662A">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bCs/>
        </w:rPr>
        <w:t>（</w:t>
      </w:r>
      <w:r>
        <w:rPr>
          <w:bCs/>
        </w:rPr>
        <w:t>3</w:t>
      </w:r>
      <w:r>
        <w:rPr>
          <w:rFonts w:hint="eastAsia"/>
          <w:bCs/>
        </w:rPr>
        <w:t>）素质目标：培养对智能交通系统的兴趣，增强创新意识与跨学科综合素养。</w:t>
      </w:r>
    </w:p>
    <w:p w14:paraId="055E69C1">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77F8BFDE">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（1）智能网联汽车概述与技术框架；（2）环境感知技术：雷达、激光雷达、摄像头；（3）决策与控制系统；（4）V2X通信与车联网技术；（5）智能驾驶辅助系统（ADAS）；（6）测试与验证方法。</w:t>
      </w:r>
    </w:p>
    <w:p w14:paraId="0AF03C94">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335B4838">
      <w:pPr>
        <w:keepNext w:val="0"/>
        <w:keepLines w:val="0"/>
        <w:pageBreakBefore w:val="0"/>
        <w:widowControl w:val="0"/>
        <w:numPr>
          <w:ilvl w:val="0"/>
          <w:numId w:val="23"/>
        </w:numPr>
        <w:kinsoku/>
        <w:wordWrap/>
        <w:overflowPunct/>
        <w:topLinePunct w:val="0"/>
        <w:autoSpaceDE/>
        <w:autoSpaceDN/>
        <w:bidi w:val="0"/>
        <w:adjustRightInd w:val="0"/>
        <w:snapToGrid w:val="0"/>
        <w:spacing w:line="400" w:lineRule="exact"/>
        <w:ind w:firstLine="420"/>
        <w:textAlignment w:val="auto"/>
        <w:rPr>
          <w:rFonts w:hint="eastAsia" w:ascii="宋体" w:hAnsi="宋体" w:cs="宋体"/>
          <w:bCs/>
          <w:szCs w:val="21"/>
        </w:rPr>
      </w:pPr>
      <w:r>
        <w:rPr>
          <w:rFonts w:hint="eastAsia" w:ascii="宋体" w:hAnsi="宋体" w:cs="宋体"/>
          <w:bCs/>
          <w:szCs w:val="21"/>
        </w:rPr>
        <w:t>教师要求：教师应具备智能网联汽车相关技术背景。</w:t>
      </w:r>
    </w:p>
    <w:p w14:paraId="261257B5">
      <w:pPr>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ascii="宋体" w:hAnsi="宋体" w:cs="宋体"/>
          <w:bCs/>
          <w:szCs w:val="21"/>
        </w:rPr>
      </w:pPr>
      <w:r>
        <w:rPr>
          <w:rFonts w:hint="eastAsia" w:ascii="宋体" w:hAnsi="宋体" w:cs="宋体"/>
          <w:bCs/>
          <w:szCs w:val="21"/>
        </w:rPr>
        <w:t>（2）教学条件：教学需使用ADAS实训车辆、仿真平台、传感器套件。</w:t>
      </w:r>
    </w:p>
    <w:p w14:paraId="36345DDD">
      <w:pPr>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ascii="宋体" w:hAnsi="宋体" w:cs="宋体"/>
          <w:bCs/>
          <w:szCs w:val="21"/>
        </w:rPr>
      </w:pPr>
      <w:r>
        <w:rPr>
          <w:rFonts w:hint="eastAsia" w:ascii="宋体" w:hAnsi="宋体" w:cs="宋体"/>
          <w:bCs/>
          <w:szCs w:val="21"/>
        </w:rPr>
        <w:t>（3）教学方法：采用理论讲授、虚拟仿真、实车测试。</w:t>
      </w:r>
    </w:p>
    <w:p w14:paraId="1637E583">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bookmarkEnd w:id="25"/>
      <w:r>
        <w:rPr>
          <w:rFonts w:hint="eastAsia" w:ascii="Times New Roman" w:hAnsi="Times New Roman" w:cs="宋体"/>
          <w:color w:val="000000"/>
          <w:szCs w:val="21"/>
          <w:shd w:val="clear" w:color="auto" w:fill="FFFFFF"/>
        </w:rPr>
        <w:t>。</w:t>
      </w:r>
    </w:p>
    <w:p w14:paraId="3C9FED86">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r>
        <w:rPr>
          <w:rFonts w:hint="eastAsia" w:ascii="宋体" w:hAnsi="宋体" w:cs="宋体"/>
          <w:b/>
          <w:szCs w:val="21"/>
          <w:lang w:val="en-US" w:eastAsia="zh-CN"/>
        </w:rPr>
        <w:t>1</w:t>
      </w:r>
      <w:r>
        <w:rPr>
          <w:rFonts w:hint="eastAsia" w:ascii="宋体" w:hAnsi="宋体" w:cs="宋体"/>
          <w:b/>
          <w:szCs w:val="21"/>
        </w:rPr>
        <w:t xml:space="preserve">1.新能源汽车结构与原理 </w:t>
      </w:r>
    </w:p>
    <w:p w14:paraId="67808DB3">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6BC4F4CC">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 掌握新能源汽车（BEV、PHEV、FCEV）的整体结构与各系统工作原理；深入理解动力电池、驱动电机、电控系统等核心部件的技术特点。</w:t>
      </w:r>
    </w:p>
    <w:p w14:paraId="2A69FAC7">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）能力目标：能够进行高压系统安全操作、基本维护与故障诊断；具备新能源汽车结构拆装与系统调试能力。</w:t>
      </w:r>
    </w:p>
    <w:p w14:paraId="76E0EF79">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bCs/>
        </w:rPr>
        <w:t>（</w:t>
      </w:r>
      <w:r>
        <w:rPr>
          <w:bCs/>
        </w:rPr>
        <w:t>3</w:t>
      </w:r>
      <w:r>
        <w:rPr>
          <w:rFonts w:hint="eastAsia"/>
          <w:bCs/>
        </w:rPr>
        <w:t>）素质目标：培养对新能源汽车技术的兴趣，增强安全意识和环保责任感。</w:t>
      </w:r>
    </w:p>
    <w:p w14:paraId="3701E26B">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068BBC7B">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（1）新能源汽车类型与结构特点；（2）动力电池系统与BMS；（3）驱动电机与控制系统；（4）电控系统与能量管理；（5）高压系统安全与维护；（6）充电技术与设施。</w:t>
      </w:r>
    </w:p>
    <w:p w14:paraId="3FADCBC6">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6D33B83B">
      <w:pPr>
        <w:keepNext w:val="0"/>
        <w:keepLines w:val="0"/>
        <w:pageBreakBefore w:val="0"/>
        <w:numPr>
          <w:ilvl w:val="0"/>
          <w:numId w:val="24"/>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教师要求：教师应具备新能源汽车维修资质。</w:t>
      </w:r>
    </w:p>
    <w:p w14:paraId="293A076B">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（2）教学条件：教学需使用新能源实训车、高压操作工具、仿真软件。</w:t>
      </w:r>
    </w:p>
    <w:p w14:paraId="0105AC6B">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（3）教学方法：采用理论+实操+虚拟仿真的混合教学模式。</w:t>
      </w:r>
    </w:p>
    <w:p w14:paraId="4D7C0963">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27C4FB4E">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r>
        <w:rPr>
          <w:rFonts w:hint="eastAsia" w:ascii="宋体" w:hAnsi="宋体" w:cs="宋体"/>
          <w:b/>
          <w:szCs w:val="21"/>
          <w:lang w:val="en-US" w:eastAsia="zh-CN"/>
        </w:rPr>
        <w:t>1</w:t>
      </w:r>
      <w:r>
        <w:rPr>
          <w:rFonts w:hint="eastAsia" w:ascii="宋体" w:hAnsi="宋体" w:cs="宋体"/>
          <w:b/>
          <w:szCs w:val="21"/>
        </w:rPr>
        <w:t xml:space="preserve">2.汽车美容 </w:t>
      </w:r>
    </w:p>
    <w:p w14:paraId="105A02A2">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4652893F">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 掌握汽车美容护理的基本知识、产品分类及性能特点；熟悉车身清洗、打蜡、抛光、镀膜、内饰清洁养护、发动机舱清洁等项目的工艺流程与质量标准。</w:t>
      </w:r>
    </w:p>
    <w:p w14:paraId="2BC1FA67">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）能力目标：能够独立完成整车精致清洗、漆面护理、内饰清洁养护等常规美容项目；具备汽车美容产品推销与客户沟通的基本能力。</w:t>
      </w:r>
    </w:p>
    <w:p w14:paraId="2F533D63">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bCs/>
        </w:rPr>
        <w:t>（</w:t>
      </w:r>
      <w:r>
        <w:rPr>
          <w:bCs/>
        </w:rPr>
        <w:t>3</w:t>
      </w:r>
      <w:r>
        <w:rPr>
          <w:rFonts w:hint="eastAsia"/>
          <w:bCs/>
        </w:rPr>
        <w:t>）素质目标：培养服务质量意识、客户至上的服务理念和创业精神。</w:t>
      </w:r>
    </w:p>
    <w:p w14:paraId="51182AA0">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12B71012">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汽车美容概述与发展前景；（2）漆面处理：抛光、打蜡、镀晶、封釉；（3）内饰清洁与养护：皮革、塑料、织物、玻璃；（4）发动机舱清洁与养护；（5）汽车美容产品知识与选用；（6）汽车美容店经营管理基础。</w:t>
      </w:r>
    </w:p>
    <w:p w14:paraId="5239215A">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25F55F61">
      <w:pPr>
        <w:keepNext w:val="0"/>
        <w:keepLines w:val="0"/>
        <w:pageBreakBefore w:val="0"/>
        <w:numPr>
          <w:ilvl w:val="0"/>
          <w:numId w:val="25"/>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教师要求：具备汽车美容实践经验或店长管理经验。</w:t>
      </w:r>
    </w:p>
    <w:p w14:paraId="0725B140">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（2）教学条件：汽车美容实训工位，配备清洗机、抛光机、美容产品等。</w:t>
      </w:r>
    </w:p>
    <w:p w14:paraId="26BBDA98">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（3）教学方法：采用演示教学、实操训练、项目考核。</w:t>
      </w:r>
    </w:p>
    <w:p w14:paraId="792506E7">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59F68C16">
      <w:pPr>
        <w:keepNext w:val="0"/>
        <w:keepLines w:val="0"/>
        <w:pageBreakBefore w:val="0"/>
        <w:wordWrap/>
        <w:topLinePunct w:val="0"/>
        <w:bidi w:val="0"/>
        <w:adjustRightInd w:val="0"/>
        <w:snapToGrid w:val="0"/>
        <w:spacing w:line="400" w:lineRule="exact"/>
        <w:ind w:firstLine="422" w:firstLineChars="200"/>
        <w:rPr>
          <w:rFonts w:hint="eastAsia" w:ascii="宋体" w:hAnsi="宋体" w:cs="宋体"/>
          <w:b/>
          <w:szCs w:val="21"/>
        </w:rPr>
      </w:pPr>
      <w:r>
        <w:rPr>
          <w:rFonts w:hint="eastAsia" w:ascii="宋体" w:hAnsi="宋体" w:cs="宋体"/>
          <w:b/>
          <w:szCs w:val="21"/>
          <w:lang w:val="en-US" w:eastAsia="zh-CN"/>
        </w:rPr>
        <w:t>1</w:t>
      </w:r>
      <w:r>
        <w:rPr>
          <w:rFonts w:hint="eastAsia" w:ascii="宋体" w:hAnsi="宋体" w:cs="宋体"/>
          <w:b/>
          <w:szCs w:val="21"/>
        </w:rPr>
        <w:t>3.汽车保险与理赔</w:t>
      </w:r>
    </w:p>
    <w:p w14:paraId="48451E9D">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7C4DB0AA">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 掌握汽车保险主要险种、条款、费率及理赔程序；熟悉交通事故责任认定与保险责任关系；了解核赔、赔款理算及代位追偿等专业知识。</w:t>
      </w:r>
    </w:p>
    <w:p w14:paraId="53B926AD">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）能力目标：能够熟练完成投保方案设计、现场查勘、损失确定、赔案缮制等理赔流程中的具体工作；具备处理常见理赔纠纷和向客户解释保险条款的能力。</w:t>
      </w:r>
    </w:p>
    <w:p w14:paraId="3DB762B0">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bCs/>
        </w:rPr>
        <w:t>（</w:t>
      </w:r>
      <w:r>
        <w:rPr>
          <w:bCs/>
        </w:rPr>
        <w:t>3</w:t>
      </w:r>
      <w:r>
        <w:rPr>
          <w:rFonts w:hint="eastAsia"/>
          <w:bCs/>
        </w:rPr>
        <w:t>）素质目标：培养诚实守信、依法办事的职业操守，增强沟通协调能力和风险防范意识。</w:t>
      </w:r>
    </w:p>
    <w:p w14:paraId="1E49DF83">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5292BA2E">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（1）保险学基础原理；（2）汽车保险产品（交强险、商业险）与条款；（3）承保与核保实务；（4）车辆损失评估与人身伤亡赔付；（5）赔案缮制与赔款理算；（6）保险欺诈识别与防范。</w:t>
      </w:r>
    </w:p>
    <w:p w14:paraId="194E5581">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41875C3B">
      <w:pPr>
        <w:keepNext w:val="0"/>
        <w:keepLines w:val="0"/>
        <w:pageBreakBefore w:val="0"/>
        <w:numPr>
          <w:ilvl w:val="0"/>
          <w:numId w:val="26"/>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教师要求：具备保险公司车险理赔或相关教学科研经验。</w:t>
      </w:r>
    </w:p>
    <w:p w14:paraId="1DB2B449">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（2）教学条件：多媒体教室，配备保险业务模拟软件、典型案例库。</w:t>
      </w:r>
    </w:p>
    <w:p w14:paraId="4EF31595">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（3）教学方法：采用案例教学、角色扮演、模拟理赔流程、专题讲座。</w:t>
      </w:r>
    </w:p>
    <w:p w14:paraId="47ABE30A">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2384BA8A">
      <w:pPr>
        <w:keepNext w:val="0"/>
        <w:keepLines w:val="0"/>
        <w:pageBreakBefore w:val="0"/>
        <w:wordWrap/>
        <w:topLinePunct w:val="0"/>
        <w:bidi w:val="0"/>
        <w:adjustRightInd w:val="0"/>
        <w:snapToGrid w:val="0"/>
        <w:spacing w:line="400" w:lineRule="exact"/>
        <w:rPr>
          <w:rFonts w:hint="eastAsia" w:ascii="宋体" w:hAnsi="宋体" w:cs="宋体"/>
          <w:b/>
          <w:szCs w:val="21"/>
        </w:rPr>
      </w:pPr>
      <w:r>
        <w:rPr>
          <w:rFonts w:hint="eastAsia" w:ascii="宋体" w:hAnsi="宋体" w:cs="宋体"/>
          <w:b/>
          <w:szCs w:val="21"/>
          <w:lang w:val="en-US" w:eastAsia="zh-CN"/>
        </w:rPr>
        <w:t>1</w:t>
      </w:r>
      <w:r>
        <w:rPr>
          <w:rFonts w:hint="eastAsia" w:ascii="宋体" w:hAnsi="宋体" w:cs="宋体"/>
          <w:b/>
          <w:szCs w:val="21"/>
        </w:rPr>
        <w:t xml:space="preserve">4.汽车市场营销 </w:t>
      </w:r>
    </w:p>
    <w:p w14:paraId="33214518">
      <w:pPr>
        <w:pStyle w:val="24"/>
        <w:keepNext w:val="0"/>
        <w:keepLines w:val="0"/>
        <w:pageBreakBefore w:val="0"/>
        <w:wordWrap/>
        <w:topLinePunct w:val="0"/>
        <w:bidi w:val="0"/>
        <w:spacing w:line="400" w:lineRule="exact"/>
        <w:ind w:left="113" w:right="102" w:firstLine="422" w:firstLineChars="200"/>
        <w:rPr>
          <w:rFonts w:hint="eastAsia"/>
          <w:b/>
          <w:lang w:eastAsia="zh-CN"/>
        </w:rPr>
      </w:pPr>
      <w:r>
        <w:rPr>
          <w:rFonts w:hint="eastAsia"/>
          <w:b/>
          <w:lang w:eastAsia="zh-CN"/>
        </w:rPr>
        <w:t>课程目标：</w:t>
      </w:r>
    </w:p>
    <w:p w14:paraId="77939C88">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 掌握汽车市场营销环境分析、市场调研、消费者行为分析、4P策略（产品、价格、渠道、促销）等核心理论；熟悉汽车销售流程、售后服务营销及二手车营销特点。</w:t>
      </w:r>
    </w:p>
    <w:p w14:paraId="4E5E3745">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w:t>
      </w:r>
      <w:r>
        <w:rPr>
          <w:bCs/>
          <w:lang w:eastAsia="zh-CN"/>
        </w:rPr>
        <w:t>2</w:t>
      </w:r>
      <w:r>
        <w:rPr>
          <w:rFonts w:hint="eastAsia"/>
          <w:bCs/>
          <w:lang w:eastAsia="zh-CN"/>
        </w:rPr>
        <w:t>）能力目标：能够初步进行汽车市场调研与分析，制定简单的营销策划方案；具备汽车产品推介、客户洽谈、销售促进的基本技能。</w:t>
      </w:r>
    </w:p>
    <w:p w14:paraId="02ED5B9E">
      <w:pPr>
        <w:keepNext w:val="0"/>
        <w:keepLines w:val="0"/>
        <w:pageBreakBefore w:val="0"/>
        <w:wordWrap/>
        <w:topLinePunct w:val="0"/>
        <w:bidi w:val="0"/>
        <w:spacing w:line="400" w:lineRule="exact"/>
        <w:ind w:firstLine="420" w:firstLineChars="200"/>
        <w:rPr>
          <w:rFonts w:hint="eastAsia" w:ascii="Times New Roman" w:hAnsi="Times New Roman" w:cs="宋体"/>
          <w:color w:val="000000"/>
          <w:szCs w:val="21"/>
          <w:shd w:val="clear" w:color="auto" w:fill="FFFFFF"/>
        </w:rPr>
      </w:pPr>
      <w:r>
        <w:rPr>
          <w:rFonts w:hint="eastAsia"/>
          <w:bCs/>
        </w:rPr>
        <w:t>（</w:t>
      </w:r>
      <w:r>
        <w:rPr>
          <w:bCs/>
        </w:rPr>
        <w:t>3</w:t>
      </w:r>
      <w:r>
        <w:rPr>
          <w:rFonts w:hint="eastAsia"/>
          <w:bCs/>
        </w:rPr>
        <w:t>）素质目标：培养市场洞察力、创新思维和客户服务意识，塑造良好的职业形象和沟通能力。</w:t>
      </w:r>
    </w:p>
    <w:p w14:paraId="3F98AFB3">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主要内容：</w:t>
      </w:r>
    </w:p>
    <w:p w14:paraId="04ADCE69">
      <w:pPr>
        <w:pStyle w:val="24"/>
        <w:keepNext w:val="0"/>
        <w:keepLines w:val="0"/>
        <w:pageBreakBefore w:val="0"/>
        <w:wordWrap/>
        <w:topLinePunct w:val="0"/>
        <w:bidi w:val="0"/>
        <w:spacing w:line="400" w:lineRule="exact"/>
        <w:ind w:right="102" w:firstLine="420" w:firstLineChars="200"/>
        <w:rPr>
          <w:rFonts w:hint="eastAsia"/>
          <w:bCs/>
          <w:lang w:eastAsia="zh-CN"/>
        </w:rPr>
      </w:pPr>
      <w:r>
        <w:rPr>
          <w:rFonts w:hint="eastAsia"/>
          <w:bCs/>
          <w:lang w:eastAsia="zh-CN"/>
        </w:rPr>
        <w:t>（1）汽车市场营销概述与环境分析；（2）汽车消费者购买行为分析；（3）汽车产品策略、价格策略、渠道策略、促销策略；（4）汽车销售流程与技巧；（5）汽车网络营销与新媒体应用；（6）汽车营销策划方案撰写。</w:t>
      </w:r>
    </w:p>
    <w:p w14:paraId="60B212D1">
      <w:pPr>
        <w:keepNext w:val="0"/>
        <w:keepLines w:val="0"/>
        <w:pageBreakBefore w:val="0"/>
        <w:wordWrap/>
        <w:topLinePunct w:val="0"/>
        <w:bidi w:val="0"/>
        <w:adjustRightInd w:val="0"/>
        <w:snapToGrid w:val="0"/>
        <w:spacing w:line="400" w:lineRule="exact"/>
        <w:ind w:firstLine="421"/>
        <w:rPr>
          <w:rFonts w:hint="eastAsia" w:ascii="宋体" w:hAnsi="宋体" w:cs="宋体"/>
          <w:b/>
          <w:szCs w:val="21"/>
        </w:rPr>
      </w:pPr>
      <w:r>
        <w:rPr>
          <w:rFonts w:hint="eastAsia" w:ascii="宋体" w:hAnsi="宋体" w:cs="宋体"/>
          <w:b/>
          <w:szCs w:val="21"/>
        </w:rPr>
        <w:t>教学要求：</w:t>
      </w:r>
    </w:p>
    <w:p w14:paraId="2D931210">
      <w:pPr>
        <w:keepNext w:val="0"/>
        <w:keepLines w:val="0"/>
        <w:pageBreakBefore w:val="0"/>
        <w:numPr>
          <w:ilvl w:val="0"/>
          <w:numId w:val="27"/>
        </w:numPr>
        <w:wordWrap/>
        <w:topLinePunct w:val="0"/>
        <w:bidi w:val="0"/>
        <w:adjustRightInd w:val="0"/>
        <w:snapToGrid w:val="0"/>
        <w:spacing w:line="400" w:lineRule="exact"/>
        <w:ind w:firstLine="420"/>
        <w:rPr>
          <w:rFonts w:hint="eastAsia" w:ascii="宋体" w:hAnsi="宋体" w:cs="宋体"/>
          <w:bCs/>
          <w:szCs w:val="21"/>
        </w:rPr>
      </w:pPr>
      <w:r>
        <w:rPr>
          <w:rFonts w:hint="eastAsia" w:ascii="宋体" w:hAnsi="宋体" w:cs="宋体"/>
          <w:bCs/>
          <w:szCs w:val="21"/>
        </w:rPr>
        <w:t>教师要求：具备汽车营销实践经验或扎实的市场营销理论功底。</w:t>
      </w:r>
    </w:p>
    <w:p w14:paraId="3C62A0CD">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（2）教学条件：多媒体教室，接入互联网，配备市场营销模拟软件。</w:t>
      </w:r>
    </w:p>
    <w:p w14:paraId="01018691">
      <w:pPr>
        <w:keepNext w:val="0"/>
        <w:keepLines w:val="0"/>
        <w:pageBreakBefore w:val="0"/>
        <w:wordWrap/>
        <w:topLinePunct w:val="0"/>
        <w:bidi w:val="0"/>
        <w:adjustRightInd w:val="0"/>
        <w:snapToGrid w:val="0"/>
        <w:spacing w:line="400" w:lineRule="exact"/>
        <w:ind w:firstLine="420"/>
        <w:rPr>
          <w:rFonts w:ascii="宋体" w:hAnsi="宋体" w:cs="宋体"/>
          <w:bCs/>
          <w:szCs w:val="21"/>
        </w:rPr>
      </w:pPr>
      <w:r>
        <w:rPr>
          <w:rFonts w:hint="eastAsia" w:ascii="宋体" w:hAnsi="宋体" w:cs="宋体"/>
          <w:bCs/>
          <w:szCs w:val="21"/>
        </w:rPr>
        <w:t>（3）教学方法：采用理论讲授、案例分析、小组讨论、模拟销售、策划项目实践</w:t>
      </w:r>
    </w:p>
    <w:p w14:paraId="3779B7AD">
      <w:pPr>
        <w:keepNext w:val="0"/>
        <w:keepLines w:val="0"/>
        <w:pageBreakBefore w:val="0"/>
        <w:wordWrap/>
        <w:topLinePunct w:val="0"/>
        <w:bidi w:val="0"/>
        <w:spacing w:line="400" w:lineRule="exact"/>
        <w:ind w:firstLine="420" w:firstLineChars="200"/>
        <w:rPr>
          <w:rFonts w:hint="default" w:ascii="Times New Roman" w:hAnsi="Times New Roman" w:cs="宋体"/>
          <w:color w:val="000000"/>
          <w:szCs w:val="21"/>
          <w:shd w:val="clear" w:color="auto" w:fill="FFFFFF"/>
          <w:lang w:val="en-US" w:eastAsia="zh-CN"/>
        </w:rPr>
      </w:pPr>
      <w:r>
        <w:rPr>
          <w:rFonts w:hint="eastAsia" w:ascii="宋体" w:hAnsi="宋体" w:cs="宋体"/>
          <w:bCs/>
          <w:szCs w:val="21"/>
        </w:rPr>
        <w:t>（4）考核评价：</w:t>
      </w:r>
      <w:r>
        <w:rPr>
          <w:rFonts w:hint="eastAsia" w:ascii="Times New Roman" w:hAnsi="Times New Roman" w:cs="宋体"/>
          <w:color w:val="000000"/>
          <w:szCs w:val="21"/>
          <w:shd w:val="clear" w:color="auto" w:fill="FFFFFF"/>
        </w:rPr>
        <w:t>过程考核成绩占40%，结课考核成绩占60%。</w:t>
      </w:r>
    </w:p>
    <w:p w14:paraId="7CE720EB">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default" w:ascii="宋体" w:hAnsi="宋体" w:eastAsia="宋体" w:cs="宋体"/>
          <w:b/>
          <w:szCs w:val="32"/>
          <w:lang w:val="en-US" w:eastAsia="zh-CN"/>
        </w:rPr>
      </w:pPr>
      <w:r>
        <w:rPr>
          <w:rFonts w:hint="eastAsia" w:ascii="宋体" w:hAnsi="宋体" w:eastAsia="宋体" w:cs="宋体"/>
          <w:b/>
          <w:szCs w:val="32"/>
          <w:lang w:val="en-US" w:eastAsia="zh-CN"/>
        </w:rPr>
        <w:t>（三）集中实践（技能）课程</w:t>
      </w:r>
    </w:p>
    <w:p w14:paraId="4FA81958">
      <w:pPr>
        <w:pStyle w:val="18"/>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表4  集中实践（技能）课程设置表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5"/>
        <w:gridCol w:w="1090"/>
        <w:gridCol w:w="2916"/>
        <w:gridCol w:w="630"/>
        <w:gridCol w:w="680"/>
        <w:gridCol w:w="530"/>
        <w:gridCol w:w="1557"/>
        <w:gridCol w:w="1244"/>
      </w:tblGrid>
      <w:tr w14:paraId="08DD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exact"/>
          <w:jc w:val="center"/>
        </w:trPr>
        <w:tc>
          <w:tcPr>
            <w:tcW w:w="555" w:type="dxa"/>
            <w:noWrap w:val="0"/>
            <w:vAlign w:val="center"/>
          </w:tcPr>
          <w:p w14:paraId="5CC6CC71">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序号</w:t>
            </w:r>
          </w:p>
        </w:tc>
        <w:tc>
          <w:tcPr>
            <w:tcW w:w="1090" w:type="dxa"/>
            <w:noWrap w:val="0"/>
            <w:vAlign w:val="center"/>
          </w:tcPr>
          <w:p w14:paraId="3E8AE8EE">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课程编码</w:t>
            </w:r>
          </w:p>
        </w:tc>
        <w:tc>
          <w:tcPr>
            <w:tcW w:w="2916" w:type="dxa"/>
            <w:noWrap w:val="0"/>
            <w:vAlign w:val="center"/>
          </w:tcPr>
          <w:p w14:paraId="0DBC1809">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课程名称</w:t>
            </w:r>
          </w:p>
        </w:tc>
        <w:tc>
          <w:tcPr>
            <w:tcW w:w="630" w:type="dxa"/>
            <w:noWrap w:val="0"/>
            <w:vAlign w:val="center"/>
          </w:tcPr>
          <w:p w14:paraId="33F009CC">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实践周数</w:t>
            </w:r>
          </w:p>
        </w:tc>
        <w:tc>
          <w:tcPr>
            <w:tcW w:w="680" w:type="dxa"/>
            <w:noWrap w:val="0"/>
            <w:vAlign w:val="center"/>
          </w:tcPr>
          <w:p w14:paraId="0A68A6E0">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学分</w:t>
            </w:r>
          </w:p>
        </w:tc>
        <w:tc>
          <w:tcPr>
            <w:tcW w:w="530" w:type="dxa"/>
            <w:noWrap w:val="0"/>
            <w:vAlign w:val="center"/>
          </w:tcPr>
          <w:p w14:paraId="43EF6488">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开设学期</w:t>
            </w:r>
          </w:p>
        </w:tc>
        <w:tc>
          <w:tcPr>
            <w:tcW w:w="1557" w:type="dxa"/>
            <w:noWrap w:val="0"/>
            <w:vAlign w:val="center"/>
          </w:tcPr>
          <w:p w14:paraId="1C206774">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实施地点</w:t>
            </w:r>
          </w:p>
        </w:tc>
        <w:tc>
          <w:tcPr>
            <w:tcW w:w="1244" w:type="dxa"/>
            <w:noWrap w:val="0"/>
            <w:vAlign w:val="center"/>
          </w:tcPr>
          <w:p w14:paraId="0CB49938">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备注</w:t>
            </w:r>
          </w:p>
        </w:tc>
      </w:tr>
      <w:tr w14:paraId="364E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4" w:hRule="exact"/>
          <w:jc w:val="center"/>
        </w:trPr>
        <w:tc>
          <w:tcPr>
            <w:tcW w:w="555" w:type="dxa"/>
            <w:noWrap w:val="0"/>
            <w:vAlign w:val="center"/>
          </w:tcPr>
          <w:p w14:paraId="1B75350C">
            <w:pPr>
              <w:adjustRightInd w:val="0"/>
              <w:spacing w:line="200" w:lineRule="exact"/>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w:t>
            </w:r>
          </w:p>
        </w:tc>
        <w:tc>
          <w:tcPr>
            <w:tcW w:w="1090" w:type="dxa"/>
            <w:shd w:val="clear" w:color="auto" w:fill="auto"/>
            <w:noWrap w:val="0"/>
            <w:vAlign w:val="center"/>
          </w:tcPr>
          <w:p w14:paraId="588A968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1224546008</w:t>
            </w:r>
          </w:p>
        </w:tc>
        <w:tc>
          <w:tcPr>
            <w:tcW w:w="2916" w:type="dxa"/>
            <w:noWrap w:val="0"/>
            <w:vAlign w:val="center"/>
          </w:tcPr>
          <w:p w14:paraId="3D99E6ED">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汽车拆装实训</w:t>
            </w:r>
          </w:p>
          <w:p w14:paraId="101EE3E2">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Times New Roman" w:hAnsi="Times New Roman" w:eastAsia="宋体" w:cs="Times New Roman"/>
                <w:bCs/>
                <w:kern w:val="0"/>
                <w:sz w:val="18"/>
                <w:szCs w:val="18"/>
                <w:lang w:val="en-US" w:eastAsia="zh-CN" w:bidi="ar"/>
              </w:rPr>
            </w:pPr>
            <w:r>
              <w:rPr>
                <w:rFonts w:hint="default" w:ascii="Times New Roman" w:hAnsi="Times New Roman" w:eastAsia="宋体" w:cs="Times New Roman"/>
                <w:bCs/>
                <w:kern w:val="0"/>
                <w:sz w:val="18"/>
                <w:szCs w:val="18"/>
                <w:lang w:val="en-US" w:eastAsia="zh-CN" w:bidi="ar"/>
              </w:rPr>
              <w:t>Car Disassembly and Installation Training</w:t>
            </w:r>
          </w:p>
        </w:tc>
        <w:tc>
          <w:tcPr>
            <w:tcW w:w="630" w:type="dxa"/>
            <w:noWrap w:val="0"/>
            <w:vAlign w:val="center"/>
          </w:tcPr>
          <w:p w14:paraId="6945756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1</w:t>
            </w:r>
          </w:p>
        </w:tc>
        <w:tc>
          <w:tcPr>
            <w:tcW w:w="680" w:type="dxa"/>
            <w:noWrap w:val="0"/>
            <w:vAlign w:val="center"/>
          </w:tcPr>
          <w:p w14:paraId="0ED87BA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bidi="ar"/>
              </w:rPr>
              <w:t>1</w:t>
            </w:r>
          </w:p>
        </w:tc>
        <w:tc>
          <w:tcPr>
            <w:tcW w:w="530" w:type="dxa"/>
            <w:noWrap w:val="0"/>
            <w:vAlign w:val="center"/>
          </w:tcPr>
          <w:p w14:paraId="360E149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bidi="ar"/>
              </w:rPr>
              <w:t>2</w:t>
            </w:r>
          </w:p>
        </w:tc>
        <w:tc>
          <w:tcPr>
            <w:tcW w:w="1557" w:type="dxa"/>
            <w:noWrap w:val="0"/>
            <w:vAlign w:val="center"/>
          </w:tcPr>
          <w:p w14:paraId="41DC5A0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2号实训楼</w:t>
            </w:r>
          </w:p>
        </w:tc>
        <w:tc>
          <w:tcPr>
            <w:tcW w:w="1244" w:type="dxa"/>
            <w:noWrap w:val="0"/>
            <w:vAlign w:val="center"/>
          </w:tcPr>
          <w:p w14:paraId="3873AE76">
            <w:pPr>
              <w:adjustRightInd w:val="0"/>
              <w:spacing w:line="200" w:lineRule="exact"/>
              <w:jc w:val="center"/>
              <w:rPr>
                <w:rFonts w:hint="eastAsia" w:ascii="Times New Roman" w:hAnsi="Times New Roman" w:eastAsia="宋体" w:cs="Times New Roman"/>
                <w:b w:val="0"/>
                <w:bCs/>
                <w:color w:val="auto"/>
                <w:kern w:val="0"/>
                <w:sz w:val="18"/>
                <w:szCs w:val="18"/>
                <w:lang w:val="en-US" w:eastAsia="zh-CN" w:bidi="ar"/>
              </w:rPr>
            </w:pPr>
          </w:p>
        </w:tc>
      </w:tr>
      <w:tr w14:paraId="06D7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9" w:hRule="exact"/>
          <w:jc w:val="center"/>
        </w:trPr>
        <w:tc>
          <w:tcPr>
            <w:tcW w:w="555" w:type="dxa"/>
            <w:noWrap w:val="0"/>
            <w:vAlign w:val="center"/>
          </w:tcPr>
          <w:p w14:paraId="0BE05791">
            <w:pPr>
              <w:adjustRightInd w:val="0"/>
              <w:spacing w:line="200" w:lineRule="exact"/>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1090" w:type="dxa"/>
            <w:shd w:val="clear" w:color="auto" w:fill="auto"/>
            <w:noWrap w:val="0"/>
            <w:vAlign w:val="center"/>
          </w:tcPr>
          <w:p w14:paraId="6528029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1224546010</w:t>
            </w:r>
          </w:p>
        </w:tc>
        <w:tc>
          <w:tcPr>
            <w:tcW w:w="2916" w:type="dxa"/>
            <w:noWrap w:val="0"/>
            <w:vAlign w:val="center"/>
          </w:tcPr>
          <w:p w14:paraId="03FF2B1A">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汽车综合故障诊断</w:t>
            </w:r>
          </w:p>
          <w:p w14:paraId="30D56147">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Times New Roman" w:hAnsi="Times New Roman" w:eastAsia="宋体" w:cs="Times New Roman"/>
                <w:bCs/>
                <w:kern w:val="0"/>
                <w:sz w:val="18"/>
                <w:szCs w:val="18"/>
                <w:lang w:val="en-US" w:eastAsia="zh-CN" w:bidi="ar"/>
              </w:rPr>
            </w:pPr>
            <w:r>
              <w:rPr>
                <w:rFonts w:hint="default" w:ascii="Times New Roman" w:hAnsi="Times New Roman" w:eastAsia="宋体" w:cs="Times New Roman"/>
                <w:bCs/>
                <w:kern w:val="0"/>
                <w:sz w:val="18"/>
                <w:szCs w:val="18"/>
                <w:lang w:val="en-US" w:eastAsia="zh-CN" w:bidi="ar"/>
              </w:rPr>
              <w:t>Comprehensive fault diagnosis of automobiles</w:t>
            </w:r>
          </w:p>
        </w:tc>
        <w:tc>
          <w:tcPr>
            <w:tcW w:w="630" w:type="dxa"/>
            <w:noWrap w:val="0"/>
            <w:vAlign w:val="center"/>
          </w:tcPr>
          <w:p w14:paraId="65A05F6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1</w:t>
            </w:r>
          </w:p>
        </w:tc>
        <w:tc>
          <w:tcPr>
            <w:tcW w:w="680" w:type="dxa"/>
            <w:noWrap w:val="0"/>
            <w:vAlign w:val="center"/>
          </w:tcPr>
          <w:p w14:paraId="0509E0A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bidi="ar"/>
              </w:rPr>
              <w:t>1</w:t>
            </w:r>
          </w:p>
        </w:tc>
        <w:tc>
          <w:tcPr>
            <w:tcW w:w="530" w:type="dxa"/>
            <w:noWrap w:val="0"/>
            <w:vAlign w:val="center"/>
          </w:tcPr>
          <w:p w14:paraId="6904F75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bidi="ar"/>
              </w:rPr>
              <w:t>3</w:t>
            </w:r>
          </w:p>
        </w:tc>
        <w:tc>
          <w:tcPr>
            <w:tcW w:w="1557" w:type="dxa"/>
            <w:noWrap w:val="0"/>
            <w:vAlign w:val="center"/>
          </w:tcPr>
          <w:p w14:paraId="7B6CC39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2号实训楼</w:t>
            </w:r>
          </w:p>
        </w:tc>
        <w:tc>
          <w:tcPr>
            <w:tcW w:w="1244" w:type="dxa"/>
            <w:noWrap w:val="0"/>
            <w:vAlign w:val="center"/>
          </w:tcPr>
          <w:p w14:paraId="5FF8D489">
            <w:pPr>
              <w:adjustRightInd w:val="0"/>
              <w:spacing w:line="200" w:lineRule="exact"/>
              <w:jc w:val="center"/>
              <w:rPr>
                <w:rFonts w:hint="eastAsia" w:ascii="Times New Roman" w:hAnsi="Times New Roman" w:eastAsia="宋体" w:cs="Times New Roman"/>
                <w:b w:val="0"/>
                <w:bCs/>
                <w:color w:val="auto"/>
                <w:kern w:val="0"/>
                <w:sz w:val="18"/>
                <w:szCs w:val="18"/>
                <w:lang w:val="en-US" w:eastAsia="zh-CN" w:bidi="ar"/>
              </w:rPr>
            </w:pPr>
          </w:p>
        </w:tc>
      </w:tr>
      <w:tr w14:paraId="7E775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4" w:hRule="exact"/>
          <w:jc w:val="center"/>
        </w:trPr>
        <w:tc>
          <w:tcPr>
            <w:tcW w:w="555" w:type="dxa"/>
            <w:noWrap w:val="0"/>
            <w:vAlign w:val="center"/>
          </w:tcPr>
          <w:p w14:paraId="31CDEB05">
            <w:pPr>
              <w:adjustRightInd w:val="0"/>
              <w:spacing w:line="200" w:lineRule="exact"/>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4</w:t>
            </w:r>
          </w:p>
        </w:tc>
        <w:tc>
          <w:tcPr>
            <w:tcW w:w="1090" w:type="dxa"/>
            <w:shd w:val="clear" w:color="auto" w:fill="auto"/>
            <w:noWrap w:val="0"/>
            <w:vAlign w:val="center"/>
          </w:tcPr>
          <w:p w14:paraId="24E3ACF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1224546011</w:t>
            </w:r>
          </w:p>
        </w:tc>
        <w:tc>
          <w:tcPr>
            <w:tcW w:w="2916" w:type="dxa"/>
            <w:noWrap w:val="0"/>
            <w:vAlign w:val="center"/>
          </w:tcPr>
          <w:p w14:paraId="7811D312">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汽车钣金实训</w:t>
            </w:r>
          </w:p>
          <w:p w14:paraId="78EB38ED">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Times New Roman" w:hAnsi="Times New Roman" w:eastAsia="宋体" w:cs="Times New Roman"/>
                <w:bCs/>
                <w:kern w:val="0"/>
                <w:sz w:val="18"/>
                <w:szCs w:val="18"/>
                <w:lang w:val="en-US" w:eastAsia="zh-CN" w:bidi="ar"/>
              </w:rPr>
            </w:pPr>
            <w:r>
              <w:rPr>
                <w:rFonts w:hint="default" w:ascii="Times New Roman" w:hAnsi="Times New Roman" w:eastAsia="宋体" w:cs="Times New Roman"/>
                <w:bCs/>
                <w:kern w:val="0"/>
                <w:sz w:val="18"/>
                <w:szCs w:val="18"/>
                <w:lang w:val="en-US" w:eastAsia="zh-CN" w:bidi="ar"/>
              </w:rPr>
              <w:t>Automobile bodywork training</w:t>
            </w:r>
          </w:p>
        </w:tc>
        <w:tc>
          <w:tcPr>
            <w:tcW w:w="630" w:type="dxa"/>
            <w:noWrap w:val="0"/>
            <w:vAlign w:val="center"/>
          </w:tcPr>
          <w:p w14:paraId="435E36E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1</w:t>
            </w:r>
          </w:p>
        </w:tc>
        <w:tc>
          <w:tcPr>
            <w:tcW w:w="680" w:type="dxa"/>
            <w:noWrap w:val="0"/>
            <w:vAlign w:val="center"/>
          </w:tcPr>
          <w:p w14:paraId="6BEF4C9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bidi="ar"/>
              </w:rPr>
              <w:t>1</w:t>
            </w:r>
          </w:p>
        </w:tc>
        <w:tc>
          <w:tcPr>
            <w:tcW w:w="530" w:type="dxa"/>
            <w:noWrap w:val="0"/>
            <w:vAlign w:val="center"/>
          </w:tcPr>
          <w:p w14:paraId="136A76D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bidi="ar"/>
              </w:rPr>
              <w:t>4</w:t>
            </w:r>
          </w:p>
        </w:tc>
        <w:tc>
          <w:tcPr>
            <w:tcW w:w="1557" w:type="dxa"/>
            <w:noWrap w:val="0"/>
            <w:vAlign w:val="center"/>
          </w:tcPr>
          <w:p w14:paraId="6739CC2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2号实训楼</w:t>
            </w:r>
          </w:p>
        </w:tc>
        <w:tc>
          <w:tcPr>
            <w:tcW w:w="1244" w:type="dxa"/>
            <w:noWrap w:val="0"/>
            <w:vAlign w:val="center"/>
          </w:tcPr>
          <w:p w14:paraId="2F89F388">
            <w:pPr>
              <w:adjustRightInd w:val="0"/>
              <w:spacing w:line="200" w:lineRule="exact"/>
              <w:jc w:val="center"/>
              <w:rPr>
                <w:rFonts w:hint="eastAsia" w:ascii="Times New Roman" w:hAnsi="Times New Roman" w:eastAsia="宋体" w:cs="Times New Roman"/>
                <w:b w:val="0"/>
                <w:bCs/>
                <w:color w:val="auto"/>
                <w:kern w:val="0"/>
                <w:sz w:val="18"/>
                <w:szCs w:val="18"/>
                <w:lang w:val="en-US" w:eastAsia="zh-CN" w:bidi="ar"/>
              </w:rPr>
            </w:pPr>
          </w:p>
        </w:tc>
      </w:tr>
      <w:tr w14:paraId="2EB13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exact"/>
          <w:jc w:val="center"/>
        </w:trPr>
        <w:tc>
          <w:tcPr>
            <w:tcW w:w="555" w:type="dxa"/>
            <w:noWrap w:val="0"/>
            <w:vAlign w:val="center"/>
          </w:tcPr>
          <w:p w14:paraId="1BDEFF93">
            <w:pPr>
              <w:adjustRightInd w:val="0"/>
              <w:spacing w:line="200" w:lineRule="exact"/>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5</w:t>
            </w:r>
          </w:p>
        </w:tc>
        <w:tc>
          <w:tcPr>
            <w:tcW w:w="1090" w:type="dxa"/>
            <w:noWrap w:val="0"/>
            <w:vAlign w:val="center"/>
          </w:tcPr>
          <w:p w14:paraId="5A9B742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1224646001</w:t>
            </w:r>
          </w:p>
        </w:tc>
        <w:tc>
          <w:tcPr>
            <w:tcW w:w="2916" w:type="dxa"/>
            <w:noWrap w:val="0"/>
            <w:vAlign w:val="center"/>
          </w:tcPr>
          <w:p w14:paraId="1B56775B">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顶岗实习及毕业实践</w:t>
            </w:r>
          </w:p>
          <w:p w14:paraId="56E964ED">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Times New Roman" w:hAnsi="Times New Roman" w:eastAsia="宋体" w:cs="Times New Roman"/>
                <w:bCs/>
                <w:kern w:val="0"/>
                <w:sz w:val="18"/>
                <w:szCs w:val="18"/>
                <w:lang w:val="en-US" w:eastAsia="zh-CN" w:bidi="ar"/>
              </w:rPr>
            </w:pPr>
            <w:r>
              <w:rPr>
                <w:rFonts w:hint="default" w:ascii="Times New Roman" w:hAnsi="Times New Roman" w:eastAsia="宋体" w:cs="Times New Roman"/>
                <w:bCs/>
                <w:kern w:val="0"/>
                <w:sz w:val="18"/>
                <w:szCs w:val="18"/>
                <w:lang w:val="en-US" w:eastAsia="zh-CN" w:bidi="ar"/>
              </w:rPr>
              <w:t>Job Internship and Graduation Practice</w:t>
            </w:r>
          </w:p>
        </w:tc>
        <w:tc>
          <w:tcPr>
            <w:tcW w:w="630" w:type="dxa"/>
            <w:noWrap w:val="0"/>
            <w:vAlign w:val="center"/>
          </w:tcPr>
          <w:p w14:paraId="0C7626C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28</w:t>
            </w:r>
          </w:p>
        </w:tc>
        <w:tc>
          <w:tcPr>
            <w:tcW w:w="680" w:type="dxa"/>
            <w:noWrap w:val="0"/>
            <w:vAlign w:val="center"/>
          </w:tcPr>
          <w:p w14:paraId="4ACA6F1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28</w:t>
            </w:r>
          </w:p>
        </w:tc>
        <w:tc>
          <w:tcPr>
            <w:tcW w:w="530" w:type="dxa"/>
            <w:noWrap w:val="0"/>
            <w:vAlign w:val="center"/>
          </w:tcPr>
          <w:p w14:paraId="26B3A34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bidi="ar"/>
              </w:rPr>
              <w:t>5</w:t>
            </w:r>
            <w:r>
              <w:rPr>
                <w:rFonts w:hint="eastAsia" w:ascii="Times New Roman" w:hAnsi="Times New Roman" w:eastAsia="宋体" w:cs="Times New Roman"/>
                <w:bCs/>
                <w:kern w:val="0"/>
                <w:sz w:val="18"/>
                <w:szCs w:val="18"/>
                <w:lang w:val="en-US" w:eastAsia="zh-CN" w:bidi="ar"/>
              </w:rPr>
              <w:t>-6</w:t>
            </w:r>
          </w:p>
        </w:tc>
        <w:tc>
          <w:tcPr>
            <w:tcW w:w="1557" w:type="dxa"/>
            <w:noWrap w:val="0"/>
            <w:vAlign w:val="center"/>
          </w:tcPr>
          <w:p w14:paraId="33B696B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宋体" w:cs="Times New Roman"/>
                <w:bCs/>
                <w:kern w:val="0"/>
                <w:sz w:val="18"/>
                <w:szCs w:val="18"/>
                <w:lang w:val="en-US" w:eastAsia="zh-CN" w:bidi="ar"/>
              </w:rPr>
            </w:pPr>
            <w:r>
              <w:rPr>
                <w:rFonts w:hint="eastAsia" w:ascii="Times New Roman" w:hAnsi="Times New Roman" w:eastAsia="宋体" w:cs="Times New Roman"/>
                <w:bCs/>
                <w:kern w:val="0"/>
                <w:sz w:val="18"/>
                <w:szCs w:val="18"/>
                <w:lang w:val="en-US" w:eastAsia="zh-CN" w:bidi="ar"/>
              </w:rPr>
              <w:t>实习基地、校外相关企业</w:t>
            </w:r>
          </w:p>
        </w:tc>
        <w:tc>
          <w:tcPr>
            <w:tcW w:w="1244" w:type="dxa"/>
            <w:noWrap w:val="0"/>
            <w:vAlign w:val="center"/>
          </w:tcPr>
          <w:p w14:paraId="47974951">
            <w:pPr>
              <w:adjustRightInd w:val="0"/>
              <w:spacing w:line="200" w:lineRule="exact"/>
              <w:jc w:val="center"/>
              <w:rPr>
                <w:rFonts w:hint="eastAsia" w:ascii="Times New Roman" w:hAnsi="Times New Roman" w:eastAsia="宋体" w:cs="Times New Roman"/>
                <w:b w:val="0"/>
                <w:bCs/>
                <w:color w:val="auto"/>
                <w:kern w:val="0"/>
                <w:sz w:val="18"/>
                <w:szCs w:val="18"/>
                <w:lang w:val="en-US" w:eastAsia="zh-CN" w:bidi="ar"/>
              </w:rPr>
            </w:pPr>
          </w:p>
        </w:tc>
      </w:tr>
      <w:tr w14:paraId="4E563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4" w:hRule="exact"/>
          <w:jc w:val="center"/>
        </w:trPr>
        <w:tc>
          <w:tcPr>
            <w:tcW w:w="4561" w:type="dxa"/>
            <w:gridSpan w:val="3"/>
            <w:noWrap w:val="0"/>
            <w:vAlign w:val="center"/>
          </w:tcPr>
          <w:p w14:paraId="47F2B7C8">
            <w:pPr>
              <w:adjustRightInd w:val="0"/>
              <w:snapToGrid w:val="0"/>
              <w:spacing w:line="280" w:lineRule="exact"/>
              <w:jc w:val="center"/>
              <w:rPr>
                <w:rFonts w:hint="eastAsia" w:ascii="宋体" w:hAnsi="宋体" w:eastAsia="宋体" w:cs="宋体"/>
                <w:b/>
                <w:sz w:val="18"/>
                <w:szCs w:val="18"/>
              </w:rPr>
            </w:pPr>
            <w:r>
              <w:rPr>
                <w:rFonts w:hint="eastAsia" w:ascii="宋体" w:hAnsi="宋体" w:eastAsia="宋体" w:cs="宋体"/>
                <w:b/>
                <w:sz w:val="18"/>
                <w:szCs w:val="18"/>
              </w:rPr>
              <w:t>合计</w:t>
            </w:r>
          </w:p>
        </w:tc>
        <w:tc>
          <w:tcPr>
            <w:tcW w:w="630" w:type="dxa"/>
            <w:noWrap w:val="0"/>
            <w:vAlign w:val="center"/>
          </w:tcPr>
          <w:p w14:paraId="746F1E4A">
            <w:pPr>
              <w:adjustRightInd w:val="0"/>
              <w:snapToGrid w:val="0"/>
              <w:spacing w:line="280" w:lineRule="exact"/>
              <w:jc w:val="center"/>
              <w:rPr>
                <w:rFonts w:hint="eastAsia" w:ascii="宋体" w:hAnsi="宋体" w:eastAsia="宋体" w:cs="宋体"/>
                <w:b/>
                <w:sz w:val="18"/>
                <w:szCs w:val="18"/>
                <w:lang w:val="en-US" w:eastAsia="zh-CN"/>
              </w:rPr>
            </w:pPr>
            <w:r>
              <w:rPr>
                <w:rFonts w:hint="eastAsia" w:ascii="宋体" w:hAnsi="宋体" w:eastAsia="宋体" w:cs="宋体"/>
                <w:b/>
                <w:sz w:val="18"/>
                <w:szCs w:val="18"/>
              </w:rPr>
              <w:t>3</w:t>
            </w:r>
            <w:r>
              <w:rPr>
                <w:rFonts w:hint="eastAsia" w:ascii="宋体" w:hAnsi="宋体" w:eastAsia="宋体" w:cs="宋体"/>
                <w:b/>
                <w:sz w:val="18"/>
                <w:szCs w:val="18"/>
                <w:lang w:val="en-US" w:eastAsia="zh-CN"/>
              </w:rPr>
              <w:t>1</w:t>
            </w:r>
          </w:p>
        </w:tc>
        <w:tc>
          <w:tcPr>
            <w:tcW w:w="680" w:type="dxa"/>
            <w:noWrap w:val="0"/>
            <w:vAlign w:val="center"/>
          </w:tcPr>
          <w:p w14:paraId="2F740EF4">
            <w:pPr>
              <w:adjustRightInd w:val="0"/>
              <w:snapToGrid w:val="0"/>
              <w:spacing w:line="280" w:lineRule="exact"/>
              <w:jc w:val="center"/>
              <w:rPr>
                <w:rFonts w:hint="eastAsia" w:ascii="宋体" w:hAnsi="宋体" w:eastAsia="宋体" w:cs="宋体"/>
                <w:b/>
                <w:sz w:val="18"/>
                <w:szCs w:val="18"/>
                <w:lang w:val="en-US" w:eastAsia="zh-CN"/>
              </w:rPr>
            </w:pPr>
            <w:r>
              <w:rPr>
                <w:rFonts w:hint="eastAsia" w:ascii="宋体" w:hAnsi="宋体" w:eastAsia="宋体" w:cs="宋体"/>
                <w:b/>
                <w:sz w:val="18"/>
                <w:szCs w:val="18"/>
              </w:rPr>
              <w:t>3</w:t>
            </w:r>
            <w:r>
              <w:rPr>
                <w:rFonts w:hint="eastAsia" w:ascii="宋体" w:hAnsi="宋体" w:eastAsia="宋体" w:cs="宋体"/>
                <w:b/>
                <w:sz w:val="18"/>
                <w:szCs w:val="18"/>
                <w:lang w:val="en-US" w:eastAsia="zh-CN"/>
              </w:rPr>
              <w:t>1</w:t>
            </w:r>
          </w:p>
        </w:tc>
        <w:tc>
          <w:tcPr>
            <w:tcW w:w="530" w:type="dxa"/>
            <w:noWrap w:val="0"/>
            <w:vAlign w:val="center"/>
          </w:tcPr>
          <w:p w14:paraId="5535D9AF">
            <w:pPr>
              <w:adjustRightInd w:val="0"/>
              <w:snapToGrid w:val="0"/>
              <w:spacing w:line="280" w:lineRule="exact"/>
              <w:jc w:val="center"/>
              <w:rPr>
                <w:rFonts w:hint="eastAsia" w:ascii="宋体" w:hAnsi="宋体" w:eastAsia="宋体" w:cs="宋体"/>
                <w:b/>
                <w:sz w:val="18"/>
                <w:szCs w:val="18"/>
              </w:rPr>
            </w:pPr>
          </w:p>
        </w:tc>
        <w:tc>
          <w:tcPr>
            <w:tcW w:w="1557" w:type="dxa"/>
            <w:noWrap w:val="0"/>
            <w:vAlign w:val="center"/>
          </w:tcPr>
          <w:p w14:paraId="45A65085">
            <w:pPr>
              <w:adjustRightInd w:val="0"/>
              <w:snapToGrid w:val="0"/>
              <w:spacing w:line="280" w:lineRule="exact"/>
              <w:jc w:val="center"/>
              <w:rPr>
                <w:rFonts w:hint="eastAsia" w:ascii="宋体" w:hAnsi="宋体" w:eastAsia="宋体" w:cs="宋体"/>
                <w:b/>
                <w:sz w:val="18"/>
                <w:szCs w:val="18"/>
              </w:rPr>
            </w:pPr>
          </w:p>
        </w:tc>
        <w:tc>
          <w:tcPr>
            <w:tcW w:w="1244" w:type="dxa"/>
            <w:noWrap w:val="0"/>
            <w:vAlign w:val="center"/>
          </w:tcPr>
          <w:p w14:paraId="50635E51">
            <w:pPr>
              <w:adjustRightInd w:val="0"/>
              <w:snapToGrid w:val="0"/>
              <w:spacing w:line="280" w:lineRule="exact"/>
              <w:jc w:val="center"/>
              <w:rPr>
                <w:rFonts w:hint="eastAsia" w:ascii="宋体" w:hAnsi="宋体" w:eastAsia="宋体" w:cs="宋体"/>
                <w:b/>
                <w:sz w:val="18"/>
                <w:szCs w:val="18"/>
              </w:rPr>
            </w:pPr>
          </w:p>
        </w:tc>
      </w:tr>
    </w:tbl>
    <w:p w14:paraId="4711A7C0">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（四）课证融通</w:t>
      </w:r>
    </w:p>
    <w:p w14:paraId="3E61DD84">
      <w:pPr>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本专业相关的通用及职业技能等级或职业资格证书如表5所示。</w:t>
      </w:r>
    </w:p>
    <w:p w14:paraId="6E1176D3">
      <w:pPr>
        <w:pStyle w:val="18"/>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pPr>
      <w:r>
        <w:rPr>
          <w:rFonts w:hint="eastAsia" w:ascii="黑体" w:hAnsi="黑体" w:eastAsia="黑体" w:cs="黑体"/>
          <w:color w:val="000000"/>
          <w:kern w:val="0"/>
          <w:szCs w:val="21"/>
          <w:highlight w:val="none"/>
          <w:lang w:val="en-US" w:eastAsia="zh-CN"/>
        </w:rPr>
        <w:t>表5  毕业生通用及职业技能等级或职业资格证书</w:t>
      </w:r>
    </w:p>
    <w:tbl>
      <w:tblPr>
        <w:tblStyle w:val="21"/>
        <w:tblW w:w="921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4"/>
        <w:gridCol w:w="2384"/>
        <w:gridCol w:w="2125"/>
        <w:gridCol w:w="2244"/>
      </w:tblGrid>
      <w:tr w14:paraId="3B0EE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2464" w:type="dxa"/>
            <w:vAlign w:val="center"/>
          </w:tcPr>
          <w:p w14:paraId="3C3A6B5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证书名称</w:t>
            </w:r>
          </w:p>
        </w:tc>
        <w:tc>
          <w:tcPr>
            <w:tcW w:w="2384" w:type="dxa"/>
            <w:vAlign w:val="center"/>
          </w:tcPr>
          <w:p w14:paraId="0C08C8D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颁证单位</w:t>
            </w:r>
          </w:p>
        </w:tc>
        <w:tc>
          <w:tcPr>
            <w:tcW w:w="2125" w:type="dxa"/>
            <w:vAlign w:val="center"/>
          </w:tcPr>
          <w:p w14:paraId="3F32403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等级</w:t>
            </w:r>
          </w:p>
        </w:tc>
        <w:tc>
          <w:tcPr>
            <w:tcW w:w="2244" w:type="dxa"/>
            <w:vAlign w:val="center"/>
          </w:tcPr>
          <w:p w14:paraId="0D80DDC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融通课程</w:t>
            </w:r>
          </w:p>
        </w:tc>
      </w:tr>
      <w:tr w14:paraId="5AC537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jc w:val="center"/>
        </w:trPr>
        <w:tc>
          <w:tcPr>
            <w:tcW w:w="2464" w:type="dxa"/>
            <w:vAlign w:val="center"/>
          </w:tcPr>
          <w:p w14:paraId="0790521C">
            <w:pPr>
              <w:pStyle w:val="24"/>
              <w:keepNext w:val="0"/>
              <w:keepLines w:val="0"/>
              <w:pageBreakBefore w:val="0"/>
              <w:widowControl w:val="0"/>
              <w:kinsoku/>
              <w:wordWrap/>
              <w:overflowPunct/>
              <w:topLinePunct w:val="0"/>
              <w:autoSpaceDE/>
              <w:autoSpaceDN/>
              <w:bidi w:val="0"/>
              <w:snapToGrid/>
              <w:spacing w:before="73" w:line="240" w:lineRule="auto"/>
              <w:ind w:left="117" w:right="105"/>
              <w:jc w:val="center"/>
              <w:textAlignment w:val="auto"/>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1"/>
                <w:sz w:val="18"/>
                <w:szCs w:val="18"/>
                <w14:textFill>
                  <w14:solidFill>
                    <w14:schemeClr w14:val="tx1"/>
                  </w14:solidFill>
                </w14:textFill>
              </w:rPr>
              <w:t>普通话水平测试等级</w:t>
            </w:r>
            <w:r>
              <w:rPr>
                <w:i w:val="0"/>
                <w:iCs w:val="0"/>
                <w:snapToGrid w:val="0"/>
                <w:color w:val="000000" w:themeColor="text1"/>
                <w:spacing w:val="-2"/>
                <w:sz w:val="18"/>
                <w:szCs w:val="18"/>
                <w14:textFill>
                  <w14:solidFill>
                    <w14:schemeClr w14:val="tx1"/>
                  </w14:solidFill>
                </w14:textFill>
              </w:rPr>
              <w:t>证书</w:t>
            </w:r>
          </w:p>
        </w:tc>
        <w:tc>
          <w:tcPr>
            <w:tcW w:w="2384" w:type="dxa"/>
            <w:vAlign w:val="center"/>
          </w:tcPr>
          <w:p w14:paraId="2BE4C115">
            <w:pPr>
              <w:pStyle w:val="24"/>
              <w:keepNext w:val="0"/>
              <w:keepLines w:val="0"/>
              <w:pageBreakBefore w:val="0"/>
              <w:widowControl w:val="0"/>
              <w:kinsoku/>
              <w:wordWrap/>
              <w:overflowPunct/>
              <w:topLinePunct w:val="0"/>
              <w:autoSpaceDE/>
              <w:autoSpaceDN/>
              <w:bidi w:val="0"/>
              <w:snapToGrid/>
              <w:spacing w:before="73" w:line="240" w:lineRule="auto"/>
              <w:ind w:left="110" w:right="106" w:firstLine="19"/>
              <w:jc w:val="center"/>
              <w:textAlignment w:val="auto"/>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1"/>
                <w:sz w:val="18"/>
                <w:szCs w:val="18"/>
                <w14:textFill>
                  <w14:solidFill>
                    <w14:schemeClr w14:val="tx1"/>
                  </w14:solidFill>
                </w14:textFill>
              </w:rPr>
              <w:t>国家语委普通话与文字应用培训测试中心</w:t>
            </w:r>
          </w:p>
        </w:tc>
        <w:tc>
          <w:tcPr>
            <w:tcW w:w="2125" w:type="dxa"/>
            <w:vAlign w:val="center"/>
          </w:tcPr>
          <w:p w14:paraId="278BC368">
            <w:pPr>
              <w:pStyle w:val="24"/>
              <w:keepNext w:val="0"/>
              <w:keepLines w:val="0"/>
              <w:pageBreakBefore w:val="0"/>
              <w:widowControl w:val="0"/>
              <w:kinsoku/>
              <w:wordWrap/>
              <w:overflowPunct/>
              <w:topLinePunct w:val="0"/>
              <w:autoSpaceDE/>
              <w:autoSpaceDN/>
              <w:bidi w:val="0"/>
              <w:snapToGrid/>
              <w:spacing w:before="68" w:line="240" w:lineRule="auto"/>
              <w:jc w:val="center"/>
              <w:textAlignment w:val="auto"/>
              <w:rPr>
                <w:rFonts w:hint="eastAsia" w:eastAsia="宋体"/>
                <w:i w:val="0"/>
                <w:iCs w:val="0"/>
                <w:snapToGrid w:val="0"/>
                <w:color w:val="000000" w:themeColor="text1"/>
                <w:sz w:val="18"/>
                <w:szCs w:val="18"/>
                <w:lang w:eastAsia="zh-CN"/>
                <w14:textFill>
                  <w14:solidFill>
                    <w14:schemeClr w14:val="tx1"/>
                  </w14:solidFill>
                </w14:textFill>
              </w:rPr>
            </w:pPr>
            <w:r>
              <w:rPr>
                <w:rFonts w:hint="eastAsia"/>
                <w:i w:val="0"/>
                <w:iCs w:val="0"/>
                <w:snapToGrid w:val="0"/>
                <w:color w:val="000000" w:themeColor="text1"/>
                <w:spacing w:val="-3"/>
                <w:sz w:val="18"/>
                <w:szCs w:val="18"/>
                <w:lang w:val="en-US" w:eastAsia="zh-CN"/>
                <w14:textFill>
                  <w14:solidFill>
                    <w14:schemeClr w14:val="tx1"/>
                  </w14:solidFill>
                </w14:textFill>
              </w:rPr>
              <w:t>二级乙等</w:t>
            </w:r>
          </w:p>
        </w:tc>
        <w:tc>
          <w:tcPr>
            <w:tcW w:w="2244" w:type="dxa"/>
            <w:vAlign w:val="center"/>
          </w:tcPr>
          <w:p w14:paraId="289FE234">
            <w:pPr>
              <w:pStyle w:val="24"/>
              <w:keepNext w:val="0"/>
              <w:keepLines w:val="0"/>
              <w:pageBreakBefore w:val="0"/>
              <w:widowControl w:val="0"/>
              <w:kinsoku/>
              <w:wordWrap/>
              <w:overflowPunct/>
              <w:topLinePunct w:val="0"/>
              <w:autoSpaceDE/>
              <w:autoSpaceDN/>
              <w:bidi w:val="0"/>
              <w:snapToGrid/>
              <w:spacing w:before="140" w:line="240" w:lineRule="auto"/>
              <w:ind w:left="113"/>
              <w:jc w:val="center"/>
              <w:textAlignment w:val="auto"/>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2"/>
                <w:sz w:val="18"/>
                <w:szCs w:val="18"/>
                <w14:textFill>
                  <w14:solidFill>
                    <w14:schemeClr w14:val="tx1"/>
                  </w14:solidFill>
                </w14:textFill>
              </w:rPr>
              <w:t>诵读与写作</w:t>
            </w:r>
          </w:p>
          <w:p w14:paraId="3B85E182">
            <w:pPr>
              <w:pStyle w:val="24"/>
              <w:keepNext w:val="0"/>
              <w:keepLines w:val="0"/>
              <w:pageBreakBefore w:val="0"/>
              <w:widowControl w:val="0"/>
              <w:kinsoku/>
              <w:wordWrap/>
              <w:overflowPunct/>
              <w:topLinePunct w:val="0"/>
              <w:autoSpaceDE/>
              <w:autoSpaceDN/>
              <w:bidi w:val="0"/>
              <w:snapToGrid/>
              <w:spacing w:before="147" w:line="240" w:lineRule="auto"/>
              <w:ind w:left="111"/>
              <w:jc w:val="center"/>
              <w:textAlignment w:val="auto"/>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1"/>
                <w:sz w:val="18"/>
                <w:szCs w:val="18"/>
                <w14:textFill>
                  <w14:solidFill>
                    <w14:schemeClr w14:val="tx1"/>
                  </w14:solidFill>
                </w14:textFill>
              </w:rPr>
              <w:t>普通话语言艺术</w:t>
            </w:r>
          </w:p>
        </w:tc>
      </w:tr>
      <w:tr w14:paraId="3006A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2464" w:type="dxa"/>
            <w:vAlign w:val="center"/>
          </w:tcPr>
          <w:p w14:paraId="38C64957">
            <w:pPr>
              <w:pStyle w:val="24"/>
              <w:keepNext w:val="0"/>
              <w:keepLines w:val="0"/>
              <w:pageBreakBefore w:val="0"/>
              <w:widowControl w:val="0"/>
              <w:kinsoku/>
              <w:wordWrap/>
              <w:overflowPunct/>
              <w:topLinePunct w:val="0"/>
              <w:autoSpaceDE/>
              <w:autoSpaceDN/>
              <w:bidi w:val="0"/>
              <w:snapToGrid/>
              <w:spacing w:before="74" w:line="240" w:lineRule="auto"/>
              <w:ind w:left="118"/>
              <w:jc w:val="center"/>
              <w:textAlignment w:val="auto"/>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1"/>
                <w:sz w:val="18"/>
                <w:szCs w:val="18"/>
                <w14:textFill>
                  <w14:solidFill>
                    <w14:schemeClr w14:val="tx1"/>
                  </w14:solidFill>
                </w14:textFill>
              </w:rPr>
              <w:t>全国计算机等级</w:t>
            </w:r>
            <w:r>
              <w:rPr>
                <w:rFonts w:hint="eastAsia"/>
                <w:i w:val="0"/>
                <w:iCs w:val="0"/>
                <w:snapToGrid w:val="0"/>
                <w:color w:val="000000" w:themeColor="text1"/>
                <w:spacing w:val="-1"/>
                <w:sz w:val="18"/>
                <w:szCs w:val="18"/>
                <w:lang w:val="en-US" w:eastAsia="zh-CN"/>
                <w14:textFill>
                  <w14:solidFill>
                    <w14:schemeClr w14:val="tx1"/>
                  </w14:solidFill>
                </w14:textFill>
              </w:rPr>
              <w:t>考试</w:t>
            </w:r>
            <w:r>
              <w:rPr>
                <w:i w:val="0"/>
                <w:iCs w:val="0"/>
                <w:snapToGrid w:val="0"/>
                <w:color w:val="000000" w:themeColor="text1"/>
                <w:spacing w:val="-1"/>
                <w:sz w:val="18"/>
                <w:szCs w:val="18"/>
                <w14:textFill>
                  <w14:solidFill>
                    <w14:schemeClr w14:val="tx1"/>
                  </w14:solidFill>
                </w14:textFill>
              </w:rPr>
              <w:t>证书</w:t>
            </w:r>
          </w:p>
        </w:tc>
        <w:tc>
          <w:tcPr>
            <w:tcW w:w="2384" w:type="dxa"/>
            <w:vAlign w:val="center"/>
          </w:tcPr>
          <w:p w14:paraId="6C98E599">
            <w:pPr>
              <w:pStyle w:val="24"/>
              <w:keepNext w:val="0"/>
              <w:keepLines w:val="0"/>
              <w:pageBreakBefore w:val="0"/>
              <w:widowControl w:val="0"/>
              <w:kinsoku/>
              <w:wordWrap/>
              <w:overflowPunct/>
              <w:topLinePunct w:val="0"/>
              <w:autoSpaceDE/>
              <w:autoSpaceDN/>
              <w:bidi w:val="0"/>
              <w:snapToGrid/>
              <w:spacing w:before="74" w:line="240" w:lineRule="auto"/>
              <w:ind w:left="112"/>
              <w:jc w:val="center"/>
              <w:textAlignment w:val="auto"/>
              <w:rPr>
                <w:rFonts w:hint="eastAsia" w:eastAsia="宋体"/>
                <w:i w:val="0"/>
                <w:iCs w:val="0"/>
                <w:snapToGrid w:val="0"/>
                <w:color w:val="000000" w:themeColor="text1"/>
                <w:sz w:val="18"/>
                <w:szCs w:val="18"/>
                <w:lang w:eastAsia="zh-CN"/>
                <w14:textFill>
                  <w14:solidFill>
                    <w14:schemeClr w14:val="tx1"/>
                  </w14:solidFill>
                </w14:textFill>
              </w:rPr>
            </w:pPr>
            <w:r>
              <w:rPr>
                <w:i w:val="0"/>
                <w:iCs w:val="0"/>
                <w:snapToGrid w:val="0"/>
                <w:color w:val="000000" w:themeColor="text1"/>
                <w:spacing w:val="-2"/>
                <w:sz w:val="18"/>
                <w:szCs w:val="18"/>
                <w14:textFill>
                  <w14:solidFill>
                    <w14:schemeClr w14:val="tx1"/>
                  </w14:solidFill>
                </w14:textFill>
              </w:rPr>
              <w:t>教育部</w:t>
            </w:r>
            <w:r>
              <w:rPr>
                <w:rFonts w:hint="eastAsia"/>
                <w:i w:val="0"/>
                <w:iCs w:val="0"/>
                <w:snapToGrid w:val="0"/>
                <w:color w:val="000000" w:themeColor="text1"/>
                <w:spacing w:val="-2"/>
                <w:sz w:val="18"/>
                <w:szCs w:val="18"/>
                <w:lang w:val="en-US" w:eastAsia="zh-CN"/>
                <w14:textFill>
                  <w14:solidFill>
                    <w14:schemeClr w14:val="tx1"/>
                  </w14:solidFill>
                </w14:textFill>
              </w:rPr>
              <w:t>教育考试院</w:t>
            </w:r>
          </w:p>
        </w:tc>
        <w:tc>
          <w:tcPr>
            <w:tcW w:w="2125" w:type="dxa"/>
            <w:vAlign w:val="center"/>
          </w:tcPr>
          <w:p w14:paraId="2430F3CF">
            <w:pPr>
              <w:pStyle w:val="24"/>
              <w:keepNext w:val="0"/>
              <w:keepLines w:val="0"/>
              <w:pageBreakBefore w:val="0"/>
              <w:widowControl w:val="0"/>
              <w:kinsoku/>
              <w:wordWrap/>
              <w:overflowPunct/>
              <w:topLinePunct w:val="0"/>
              <w:autoSpaceDE/>
              <w:autoSpaceDN/>
              <w:bidi w:val="0"/>
              <w:snapToGrid/>
              <w:spacing w:before="213" w:line="240" w:lineRule="auto"/>
              <w:jc w:val="center"/>
              <w:textAlignment w:val="auto"/>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6"/>
                <w:sz w:val="18"/>
                <w:szCs w:val="18"/>
                <w14:textFill>
                  <w14:solidFill>
                    <w14:schemeClr w14:val="tx1"/>
                  </w14:solidFill>
                </w14:textFill>
              </w:rPr>
              <w:t>二级</w:t>
            </w:r>
          </w:p>
        </w:tc>
        <w:tc>
          <w:tcPr>
            <w:tcW w:w="2244" w:type="dxa"/>
            <w:vAlign w:val="center"/>
          </w:tcPr>
          <w:p w14:paraId="017AC47B">
            <w:pPr>
              <w:pStyle w:val="24"/>
              <w:keepNext w:val="0"/>
              <w:keepLines w:val="0"/>
              <w:pageBreakBefore w:val="0"/>
              <w:widowControl w:val="0"/>
              <w:kinsoku/>
              <w:wordWrap/>
              <w:overflowPunct/>
              <w:topLinePunct w:val="0"/>
              <w:autoSpaceDE/>
              <w:autoSpaceDN/>
              <w:bidi w:val="0"/>
              <w:snapToGrid/>
              <w:spacing w:before="141" w:line="240" w:lineRule="auto"/>
              <w:ind w:left="112"/>
              <w:jc w:val="center"/>
              <w:textAlignment w:val="auto"/>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2"/>
                <w:sz w:val="18"/>
                <w:szCs w:val="18"/>
                <w14:textFill>
                  <w14:solidFill>
                    <w14:schemeClr w14:val="tx1"/>
                  </w14:solidFill>
                </w14:textFill>
              </w:rPr>
              <w:t>信息技术</w:t>
            </w:r>
          </w:p>
        </w:tc>
      </w:tr>
      <w:tr w14:paraId="6CE6DF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58E8B3AE">
            <w:pPr>
              <w:pStyle w:val="24"/>
              <w:keepNext w:val="0"/>
              <w:keepLines w:val="0"/>
              <w:pageBreakBefore w:val="0"/>
              <w:widowControl w:val="0"/>
              <w:kinsoku/>
              <w:wordWrap/>
              <w:overflowPunct/>
              <w:topLinePunct w:val="0"/>
              <w:autoSpaceDE/>
              <w:autoSpaceDN/>
              <w:bidi w:val="0"/>
              <w:snapToGrid/>
              <w:spacing w:before="76" w:line="240" w:lineRule="auto"/>
              <w:ind w:left="118" w:right="105" w:firstLine="5"/>
              <w:jc w:val="center"/>
              <w:textAlignment w:val="auto"/>
              <w:rPr>
                <w:rFonts w:hint="default" w:eastAsia="宋体"/>
                <w:i w:val="0"/>
                <w:iCs w:val="0"/>
                <w:snapToGrid w:val="0"/>
                <w:color w:val="000000" w:themeColor="text1"/>
                <w:sz w:val="18"/>
                <w:szCs w:val="18"/>
                <w:lang w:val="en-US" w:eastAsia="zh-CN"/>
                <w14:textFill>
                  <w14:solidFill>
                    <w14:schemeClr w14:val="tx1"/>
                  </w14:solidFill>
                </w14:textFill>
              </w:rPr>
            </w:pPr>
            <w:r>
              <w:rPr>
                <w:rFonts w:hint="eastAsia"/>
                <w:i w:val="0"/>
                <w:iCs w:val="0"/>
                <w:snapToGrid w:val="0"/>
                <w:color w:val="000000" w:themeColor="text1"/>
                <w:sz w:val="18"/>
                <w:szCs w:val="18"/>
                <w:lang w:val="en-US" w:eastAsia="zh-CN"/>
                <w14:textFill>
                  <w14:solidFill>
                    <w14:schemeClr w14:val="tx1"/>
                  </w14:solidFill>
                </w14:textFill>
              </w:rPr>
              <w:t>全国大学英语四六级考试等级证书</w:t>
            </w:r>
          </w:p>
        </w:tc>
        <w:tc>
          <w:tcPr>
            <w:tcW w:w="2384" w:type="dxa"/>
            <w:vAlign w:val="center"/>
          </w:tcPr>
          <w:p w14:paraId="344AEBC4">
            <w:pPr>
              <w:pStyle w:val="24"/>
              <w:keepNext w:val="0"/>
              <w:keepLines w:val="0"/>
              <w:pageBreakBefore w:val="0"/>
              <w:widowControl w:val="0"/>
              <w:kinsoku/>
              <w:wordWrap/>
              <w:overflowPunct/>
              <w:topLinePunct w:val="0"/>
              <w:autoSpaceDE/>
              <w:autoSpaceDN/>
              <w:bidi w:val="0"/>
              <w:snapToGrid/>
              <w:spacing w:before="76" w:line="240" w:lineRule="auto"/>
              <w:ind w:left="113" w:right="106" w:firstLine="2"/>
              <w:jc w:val="center"/>
              <w:textAlignment w:val="auto"/>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2"/>
                <w:sz w:val="18"/>
                <w:szCs w:val="18"/>
                <w14:textFill>
                  <w14:solidFill>
                    <w14:schemeClr w14:val="tx1"/>
                  </w14:solidFill>
                </w14:textFill>
              </w:rPr>
              <w:t>教育部</w:t>
            </w:r>
            <w:r>
              <w:rPr>
                <w:rFonts w:hint="eastAsia"/>
                <w:i w:val="0"/>
                <w:iCs w:val="0"/>
                <w:snapToGrid w:val="0"/>
                <w:color w:val="000000" w:themeColor="text1"/>
                <w:spacing w:val="-2"/>
                <w:sz w:val="18"/>
                <w:szCs w:val="18"/>
                <w:lang w:val="en-US" w:eastAsia="zh-CN"/>
                <w14:textFill>
                  <w14:solidFill>
                    <w14:schemeClr w14:val="tx1"/>
                  </w14:solidFill>
                </w14:textFill>
              </w:rPr>
              <w:t>教育考试院</w:t>
            </w:r>
          </w:p>
        </w:tc>
        <w:tc>
          <w:tcPr>
            <w:tcW w:w="2125" w:type="dxa"/>
            <w:vAlign w:val="center"/>
          </w:tcPr>
          <w:p w14:paraId="57F9CCDE">
            <w:pPr>
              <w:pStyle w:val="24"/>
              <w:keepNext w:val="0"/>
              <w:keepLines w:val="0"/>
              <w:pageBreakBefore w:val="0"/>
              <w:widowControl w:val="0"/>
              <w:kinsoku/>
              <w:wordWrap/>
              <w:overflowPunct/>
              <w:topLinePunct w:val="0"/>
              <w:autoSpaceDE/>
              <w:autoSpaceDN/>
              <w:bidi w:val="0"/>
              <w:snapToGrid/>
              <w:spacing w:before="301" w:line="240" w:lineRule="auto"/>
              <w:jc w:val="center"/>
              <w:textAlignment w:val="auto"/>
              <w:rPr>
                <w:rFonts w:hint="default" w:eastAsia="宋体"/>
                <w:i w:val="0"/>
                <w:iCs w:val="0"/>
                <w:snapToGrid w:val="0"/>
                <w:color w:val="000000" w:themeColor="text1"/>
                <w:sz w:val="18"/>
                <w:szCs w:val="18"/>
                <w:lang w:val="en-US" w:eastAsia="zh-CN"/>
                <w14:textFill>
                  <w14:solidFill>
                    <w14:schemeClr w14:val="tx1"/>
                  </w14:solidFill>
                </w14:textFill>
              </w:rPr>
            </w:pPr>
            <w:r>
              <w:rPr>
                <w:rFonts w:hint="eastAsia"/>
                <w:i w:val="0"/>
                <w:iCs w:val="0"/>
                <w:snapToGrid w:val="0"/>
                <w:color w:val="000000" w:themeColor="text1"/>
                <w:spacing w:val="-1"/>
                <w:sz w:val="18"/>
                <w:szCs w:val="18"/>
                <w:lang w:val="en-US" w:eastAsia="zh-CN"/>
                <w14:textFill>
                  <w14:solidFill>
                    <w14:schemeClr w14:val="tx1"/>
                  </w14:solidFill>
                </w14:textFill>
              </w:rPr>
              <w:t>425分</w:t>
            </w:r>
          </w:p>
        </w:tc>
        <w:tc>
          <w:tcPr>
            <w:tcW w:w="2244" w:type="dxa"/>
            <w:vAlign w:val="center"/>
          </w:tcPr>
          <w:p w14:paraId="2131E77A">
            <w:pPr>
              <w:pStyle w:val="24"/>
              <w:keepNext w:val="0"/>
              <w:keepLines w:val="0"/>
              <w:pageBreakBefore w:val="0"/>
              <w:widowControl w:val="0"/>
              <w:kinsoku/>
              <w:wordWrap/>
              <w:overflowPunct/>
              <w:topLinePunct w:val="0"/>
              <w:autoSpaceDE/>
              <w:autoSpaceDN/>
              <w:bidi w:val="0"/>
              <w:snapToGrid/>
              <w:spacing w:before="302" w:line="240" w:lineRule="auto"/>
              <w:jc w:val="center"/>
              <w:textAlignment w:val="auto"/>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3"/>
                <w:sz w:val="18"/>
                <w:szCs w:val="18"/>
                <w14:textFill>
                  <w14:solidFill>
                    <w14:schemeClr w14:val="tx1"/>
                  </w14:solidFill>
                </w14:textFill>
              </w:rPr>
              <w:t>大学英语</w:t>
            </w:r>
          </w:p>
        </w:tc>
      </w:tr>
    </w:tbl>
    <w:p w14:paraId="7659A6E3">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（五）课赛融通</w:t>
      </w:r>
    </w:p>
    <w:p w14:paraId="16D6D739">
      <w:pPr>
        <w:pStyle w:val="6"/>
        <w:spacing w:before="231" w:line="355" w:lineRule="auto"/>
        <w:ind w:left="123" w:right="103" w:firstLine="481"/>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本专业相关的竞赛如表</w:t>
      </w:r>
      <w:r>
        <w:rPr>
          <w:rFonts w:hint="eastAsia" w:cs="宋体"/>
          <w:bCs/>
          <w:kern w:val="2"/>
          <w:sz w:val="21"/>
          <w:szCs w:val="21"/>
          <w:lang w:val="en-US" w:eastAsia="zh-CN" w:bidi="ar-SA"/>
        </w:rPr>
        <w:t>6</w:t>
      </w:r>
      <w:r>
        <w:rPr>
          <w:rFonts w:hint="eastAsia" w:ascii="宋体" w:hAnsi="宋体" w:eastAsia="宋体" w:cs="宋体"/>
          <w:bCs/>
          <w:kern w:val="2"/>
          <w:sz w:val="21"/>
          <w:szCs w:val="21"/>
          <w:lang w:val="en-US" w:eastAsia="zh-CN" w:bidi="ar-SA"/>
        </w:rPr>
        <w:t>所示。</w:t>
      </w:r>
    </w:p>
    <w:p w14:paraId="007D0C84">
      <w:pPr>
        <w:pStyle w:val="18"/>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pPr>
      <w:r>
        <w:rPr>
          <w:rFonts w:hint="eastAsia" w:ascii="黑体" w:hAnsi="黑体" w:eastAsia="黑体" w:cs="黑体"/>
          <w:color w:val="000000"/>
          <w:kern w:val="0"/>
          <w:szCs w:val="21"/>
          <w:highlight w:val="none"/>
          <w:lang w:val="en-US" w:eastAsia="zh-CN"/>
        </w:rPr>
        <w:t>表6  课赛融通表</w:t>
      </w:r>
    </w:p>
    <w:tbl>
      <w:tblPr>
        <w:tblStyle w:val="21"/>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09"/>
        <w:gridCol w:w="1276"/>
        <w:gridCol w:w="3185"/>
        <w:gridCol w:w="2546"/>
      </w:tblGrid>
      <w:tr w14:paraId="66FB8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2309" w:type="dxa"/>
            <w:vAlign w:val="center"/>
          </w:tcPr>
          <w:p w14:paraId="7C7FBA0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赛项名称</w:t>
            </w:r>
          </w:p>
        </w:tc>
        <w:tc>
          <w:tcPr>
            <w:tcW w:w="1276" w:type="dxa"/>
            <w:vAlign w:val="center"/>
          </w:tcPr>
          <w:p w14:paraId="7C956CB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组织机构</w:t>
            </w:r>
          </w:p>
        </w:tc>
        <w:tc>
          <w:tcPr>
            <w:tcW w:w="3185" w:type="dxa"/>
            <w:vAlign w:val="center"/>
          </w:tcPr>
          <w:p w14:paraId="5FAC86B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主要内容</w:t>
            </w:r>
          </w:p>
        </w:tc>
        <w:tc>
          <w:tcPr>
            <w:tcW w:w="2546" w:type="dxa"/>
            <w:vAlign w:val="center"/>
          </w:tcPr>
          <w:p w14:paraId="4FD44AA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融通课程</w:t>
            </w:r>
          </w:p>
        </w:tc>
      </w:tr>
      <w:tr w14:paraId="30A8E3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jc w:val="center"/>
        </w:trPr>
        <w:tc>
          <w:tcPr>
            <w:tcW w:w="2309" w:type="dxa"/>
            <w:vAlign w:val="center"/>
          </w:tcPr>
          <w:p w14:paraId="17502DD5">
            <w:pPr>
              <w:pStyle w:val="24"/>
              <w:keepNext w:val="0"/>
              <w:keepLines w:val="0"/>
              <w:pageBreakBefore w:val="0"/>
              <w:kinsoku/>
              <w:wordWrap/>
              <w:overflowPunct/>
              <w:topLinePunct w:val="0"/>
              <w:autoSpaceDE/>
              <w:autoSpaceDN/>
              <w:bidi w:val="0"/>
              <w:snapToGrid/>
              <w:spacing w:before="68" w:line="240" w:lineRule="auto"/>
              <w:ind w:left="119" w:leftChars="0" w:right="107" w:rightChars="0" w:firstLine="15" w:firstLineChars="0"/>
              <w:jc w:val="center"/>
              <w:textAlignment w:val="auto"/>
              <w:rPr>
                <w:i w:val="0"/>
                <w:iCs w:val="0"/>
                <w:snapToGrid w:val="0"/>
                <w:color w:val="auto"/>
                <w:spacing w:val="-2"/>
                <w:sz w:val="18"/>
                <w:szCs w:val="18"/>
              </w:rPr>
            </w:pPr>
            <w:r>
              <w:rPr>
                <w:rFonts w:hint="eastAsia"/>
                <w:i w:val="0"/>
                <w:iCs w:val="0"/>
                <w:snapToGrid w:val="0"/>
                <w:color w:val="auto"/>
                <w:spacing w:val="-2"/>
                <w:sz w:val="18"/>
                <w:szCs w:val="18"/>
                <w:lang w:val="en-US" w:eastAsia="zh-CN"/>
              </w:rPr>
              <w:t>河南</w:t>
            </w:r>
            <w:r>
              <w:rPr>
                <w:i w:val="0"/>
                <w:iCs w:val="0"/>
                <w:snapToGrid w:val="0"/>
                <w:color w:val="auto"/>
                <w:spacing w:val="-2"/>
                <w:sz w:val="18"/>
                <w:szCs w:val="18"/>
              </w:rPr>
              <w:t>省职业技能竞赛</w:t>
            </w:r>
          </w:p>
        </w:tc>
        <w:tc>
          <w:tcPr>
            <w:tcW w:w="1276" w:type="dxa"/>
            <w:vAlign w:val="center"/>
          </w:tcPr>
          <w:p w14:paraId="6F4EE324">
            <w:pPr>
              <w:pStyle w:val="24"/>
              <w:keepNext w:val="0"/>
              <w:keepLines w:val="0"/>
              <w:pageBreakBefore w:val="0"/>
              <w:kinsoku/>
              <w:wordWrap/>
              <w:overflowPunct/>
              <w:topLinePunct w:val="0"/>
              <w:autoSpaceDE/>
              <w:autoSpaceDN/>
              <w:bidi w:val="0"/>
              <w:snapToGrid/>
              <w:spacing w:before="68" w:line="240" w:lineRule="auto"/>
              <w:ind w:left="119" w:leftChars="0" w:right="107" w:rightChars="0" w:firstLine="15" w:firstLineChars="0"/>
              <w:jc w:val="center"/>
              <w:textAlignment w:val="auto"/>
              <w:rPr>
                <w:i w:val="0"/>
                <w:iCs w:val="0"/>
                <w:snapToGrid w:val="0"/>
                <w:color w:val="auto"/>
                <w:spacing w:val="-2"/>
                <w:sz w:val="18"/>
                <w:szCs w:val="18"/>
              </w:rPr>
            </w:pPr>
            <w:r>
              <w:rPr>
                <w:rFonts w:hint="eastAsia"/>
                <w:i w:val="0"/>
                <w:iCs w:val="0"/>
                <w:snapToGrid w:val="0"/>
                <w:color w:val="auto"/>
                <w:spacing w:val="-2"/>
                <w:sz w:val="18"/>
                <w:szCs w:val="18"/>
              </w:rPr>
              <w:t>河南省人民政府办公厅</w:t>
            </w:r>
          </w:p>
        </w:tc>
        <w:tc>
          <w:tcPr>
            <w:tcW w:w="3185" w:type="dxa"/>
            <w:vAlign w:val="top"/>
          </w:tcPr>
          <w:p w14:paraId="62120696">
            <w:pPr>
              <w:pStyle w:val="24"/>
              <w:keepNext w:val="0"/>
              <w:keepLines w:val="0"/>
              <w:pageBreakBefore w:val="0"/>
              <w:numPr>
                <w:ilvl w:val="0"/>
                <w:numId w:val="28"/>
              </w:numPr>
              <w:kinsoku/>
              <w:wordWrap/>
              <w:overflowPunct/>
              <w:topLinePunct w:val="0"/>
              <w:autoSpaceDE/>
              <w:autoSpaceDN/>
              <w:bidi w:val="0"/>
              <w:snapToGrid/>
              <w:spacing w:before="68" w:line="240" w:lineRule="auto"/>
              <w:ind w:left="119" w:leftChars="0" w:right="107" w:rightChars="0" w:firstLine="15" w:firstLineChars="0"/>
              <w:jc w:val="left"/>
              <w:textAlignment w:val="auto"/>
              <w:rPr>
                <w:rFonts w:hint="eastAsia"/>
                <w:i w:val="0"/>
                <w:iCs w:val="0"/>
                <w:snapToGrid w:val="0"/>
                <w:color w:val="auto"/>
                <w:spacing w:val="-2"/>
                <w:sz w:val="18"/>
                <w:szCs w:val="18"/>
                <w:lang w:val="en-US" w:eastAsia="zh-CN"/>
              </w:rPr>
            </w:pPr>
            <w:r>
              <w:rPr>
                <w:rFonts w:hint="eastAsia"/>
                <w:i w:val="0"/>
                <w:iCs w:val="0"/>
                <w:snapToGrid w:val="0"/>
                <w:color w:val="auto"/>
                <w:spacing w:val="-2"/>
                <w:sz w:val="18"/>
                <w:szCs w:val="18"/>
                <w:lang w:val="en-US" w:eastAsia="zh-CN"/>
              </w:rPr>
              <w:t>汽车综合故障诊断</w:t>
            </w:r>
          </w:p>
          <w:p w14:paraId="303BA0A2">
            <w:pPr>
              <w:pStyle w:val="24"/>
              <w:keepNext w:val="0"/>
              <w:keepLines w:val="0"/>
              <w:pageBreakBefore w:val="0"/>
              <w:numPr>
                <w:ilvl w:val="0"/>
                <w:numId w:val="28"/>
              </w:numPr>
              <w:kinsoku/>
              <w:wordWrap/>
              <w:overflowPunct/>
              <w:topLinePunct w:val="0"/>
              <w:autoSpaceDE/>
              <w:autoSpaceDN/>
              <w:bidi w:val="0"/>
              <w:snapToGrid/>
              <w:spacing w:before="68" w:line="240" w:lineRule="auto"/>
              <w:ind w:left="119" w:leftChars="0" w:right="107" w:rightChars="0" w:firstLine="15" w:firstLineChars="0"/>
              <w:jc w:val="left"/>
              <w:textAlignment w:val="auto"/>
              <w:rPr>
                <w:rFonts w:hint="default"/>
                <w:i w:val="0"/>
                <w:iCs w:val="0"/>
                <w:snapToGrid w:val="0"/>
                <w:color w:val="auto"/>
                <w:spacing w:val="-2"/>
                <w:sz w:val="18"/>
                <w:szCs w:val="18"/>
                <w:lang w:val="en-US" w:eastAsia="zh-CN"/>
              </w:rPr>
            </w:pPr>
            <w:r>
              <w:rPr>
                <w:rFonts w:hint="eastAsia"/>
                <w:i w:val="0"/>
                <w:iCs w:val="0"/>
                <w:snapToGrid w:val="0"/>
                <w:color w:val="auto"/>
                <w:spacing w:val="-2"/>
                <w:sz w:val="18"/>
                <w:szCs w:val="18"/>
                <w:lang w:val="en-US" w:eastAsia="zh-CN"/>
              </w:rPr>
              <w:t>汽车电气系统检修</w:t>
            </w:r>
          </w:p>
        </w:tc>
        <w:tc>
          <w:tcPr>
            <w:tcW w:w="2546" w:type="dxa"/>
            <w:vAlign w:val="top"/>
          </w:tcPr>
          <w:p w14:paraId="5F2DA5FD">
            <w:pPr>
              <w:keepNext w:val="0"/>
              <w:keepLines w:val="0"/>
              <w:pageBreakBefore w:val="0"/>
              <w:widowControl/>
              <w:suppressLineNumbers w:val="0"/>
              <w:kinsoku/>
              <w:wordWrap/>
              <w:overflowPunct/>
              <w:topLinePunct w:val="0"/>
              <w:autoSpaceDE/>
              <w:autoSpaceDN/>
              <w:bidi w:val="0"/>
              <w:snapToGrid/>
              <w:spacing w:line="240" w:lineRule="auto"/>
              <w:jc w:val="both"/>
              <w:textAlignment w:val="auto"/>
              <w:rPr>
                <w:rFonts w:hint="eastAsia" w:asciiTheme="minorEastAsia" w:hAnsiTheme="minorEastAsia" w:eastAsiaTheme="minorEastAsia" w:cstheme="minorEastAsia"/>
                <w:i w:val="0"/>
                <w:iCs w:val="0"/>
                <w:snapToGrid w:val="0"/>
                <w:color w:val="auto"/>
                <w:kern w:val="0"/>
                <w:sz w:val="18"/>
                <w:szCs w:val="18"/>
                <w:lang w:val="en-US" w:eastAsia="zh-CN" w:bidi="ar"/>
              </w:rPr>
            </w:pPr>
            <w:r>
              <w:rPr>
                <w:rFonts w:hint="eastAsia" w:asciiTheme="minorEastAsia" w:hAnsiTheme="minorEastAsia" w:eastAsiaTheme="minorEastAsia" w:cstheme="minorEastAsia"/>
                <w:i w:val="0"/>
                <w:iCs w:val="0"/>
                <w:snapToGrid w:val="0"/>
                <w:color w:val="auto"/>
                <w:kern w:val="0"/>
                <w:sz w:val="18"/>
                <w:szCs w:val="18"/>
                <w:lang w:val="en-US" w:eastAsia="zh-CN" w:bidi="ar"/>
              </w:rPr>
              <w:t>汽车发动机</w:t>
            </w:r>
            <w:r>
              <w:rPr>
                <w:rFonts w:hint="eastAsia" w:asciiTheme="minorEastAsia" w:hAnsiTheme="minorEastAsia" w:cstheme="minorEastAsia"/>
                <w:i w:val="0"/>
                <w:iCs w:val="0"/>
                <w:snapToGrid w:val="0"/>
                <w:color w:val="auto"/>
                <w:kern w:val="0"/>
                <w:sz w:val="18"/>
                <w:szCs w:val="18"/>
                <w:lang w:val="en-US" w:eastAsia="zh-CN" w:bidi="ar"/>
              </w:rPr>
              <w:t>检测与维修、</w:t>
            </w:r>
            <w:r>
              <w:rPr>
                <w:rFonts w:hint="eastAsia" w:asciiTheme="minorEastAsia" w:hAnsiTheme="minorEastAsia" w:eastAsiaTheme="minorEastAsia" w:cstheme="minorEastAsia"/>
                <w:i w:val="0"/>
                <w:iCs w:val="0"/>
                <w:snapToGrid w:val="0"/>
                <w:color w:val="auto"/>
                <w:kern w:val="0"/>
                <w:sz w:val="18"/>
                <w:szCs w:val="18"/>
                <w:lang w:val="en-US" w:eastAsia="zh-CN" w:bidi="ar"/>
              </w:rPr>
              <w:t>汽车底盘检测与维修、汽车电气系统检测与维修、汽车检测与故障诊断、新能源汽车技术、汽车使用与维护</w:t>
            </w:r>
          </w:p>
          <w:p w14:paraId="5AD8B243">
            <w:pPr>
              <w:pStyle w:val="24"/>
              <w:keepNext w:val="0"/>
              <w:keepLines w:val="0"/>
              <w:pageBreakBefore w:val="0"/>
              <w:kinsoku/>
              <w:wordWrap/>
              <w:overflowPunct/>
              <w:topLinePunct w:val="0"/>
              <w:autoSpaceDE/>
              <w:autoSpaceDN/>
              <w:bidi w:val="0"/>
              <w:snapToGrid/>
              <w:spacing w:before="68" w:line="240" w:lineRule="auto"/>
              <w:ind w:left="119" w:leftChars="0" w:right="107" w:rightChars="0" w:firstLine="15" w:firstLineChars="0"/>
              <w:jc w:val="left"/>
              <w:textAlignment w:val="auto"/>
              <w:rPr>
                <w:i w:val="0"/>
                <w:iCs w:val="0"/>
                <w:snapToGrid w:val="0"/>
                <w:color w:val="auto"/>
                <w:spacing w:val="-2"/>
                <w:sz w:val="18"/>
                <w:szCs w:val="18"/>
              </w:rPr>
            </w:pPr>
          </w:p>
        </w:tc>
      </w:tr>
    </w:tbl>
    <w:p w14:paraId="386AB65C">
      <w:pPr>
        <w:adjustRightInd w:val="0"/>
        <w:snapToGrid w:val="0"/>
        <w:spacing w:line="400" w:lineRule="exact"/>
        <w:ind w:firstLine="480" w:firstLineChars="200"/>
        <w:rPr>
          <w:rFonts w:ascii="黑体" w:hAnsi="黑体" w:eastAsia="黑体" w:cs="黑体"/>
          <w:bCs/>
          <w:sz w:val="24"/>
          <w:szCs w:val="24"/>
        </w:rPr>
      </w:pPr>
      <w:bookmarkStart w:id="26" w:name="_Toc545"/>
      <w:r>
        <w:rPr>
          <w:rFonts w:hint="eastAsia" w:ascii="黑体" w:hAnsi="黑体" w:eastAsia="黑体" w:cs="黑体"/>
          <w:bCs/>
          <w:sz w:val="24"/>
          <w:szCs w:val="24"/>
        </w:rPr>
        <w:t>七、</w:t>
      </w:r>
      <w:bookmarkEnd w:id="26"/>
      <w:r>
        <w:rPr>
          <w:rFonts w:eastAsia="黑体"/>
          <w:sz w:val="24"/>
          <w:szCs w:val="24"/>
        </w:rPr>
        <w:t>教学进程总体安排</w:t>
      </w:r>
    </w:p>
    <w:p w14:paraId="78915E3A">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黑体" w:hAnsi="黑体" w:eastAsia="黑体" w:cs="黑体"/>
          <w:color w:val="000000"/>
          <w:kern w:val="0"/>
          <w:szCs w:val="21"/>
          <w:highlight w:val="none"/>
          <w:lang w:val="en-US" w:eastAsia="zh-CN"/>
        </w:rPr>
      </w:pPr>
      <w:bookmarkStart w:id="27" w:name="_Toc6775"/>
      <w:r>
        <w:rPr>
          <w:rFonts w:hint="eastAsia" w:ascii="宋体" w:hAnsi="宋体" w:eastAsia="宋体" w:cs="宋体"/>
          <w:b/>
          <w:szCs w:val="32"/>
          <w:lang w:val="en-US" w:eastAsia="zh-CN"/>
        </w:rPr>
        <w:t>（一）课程平台及学分比例</w:t>
      </w:r>
      <w:bookmarkEnd w:id="27"/>
    </w:p>
    <w:p w14:paraId="02AB3696">
      <w:pPr>
        <w:pStyle w:val="18"/>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表7  课程平台及学分比例</w:t>
      </w:r>
    </w:p>
    <w:tbl>
      <w:tblPr>
        <w:tblStyle w:val="13"/>
        <w:tblW w:w="9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2598"/>
        <w:gridCol w:w="1140"/>
        <w:gridCol w:w="1030"/>
        <w:gridCol w:w="1126"/>
        <w:gridCol w:w="1504"/>
      </w:tblGrid>
      <w:tr w14:paraId="36AE3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040" w:type="dxa"/>
            <w:vAlign w:val="center"/>
          </w:tcPr>
          <w:p w14:paraId="4D63649A">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课程平台</w:t>
            </w:r>
          </w:p>
        </w:tc>
        <w:tc>
          <w:tcPr>
            <w:tcW w:w="2598" w:type="dxa"/>
            <w:vAlign w:val="center"/>
          </w:tcPr>
          <w:p w14:paraId="242C7B1D">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课程模块</w:t>
            </w:r>
          </w:p>
        </w:tc>
        <w:tc>
          <w:tcPr>
            <w:tcW w:w="1140" w:type="dxa"/>
            <w:vAlign w:val="center"/>
          </w:tcPr>
          <w:p w14:paraId="78E17EB7">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课程性质</w:t>
            </w:r>
          </w:p>
        </w:tc>
        <w:tc>
          <w:tcPr>
            <w:tcW w:w="1030" w:type="dxa"/>
            <w:vAlign w:val="center"/>
          </w:tcPr>
          <w:p w14:paraId="3CFADF48">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修读学分要求</w:t>
            </w:r>
          </w:p>
        </w:tc>
        <w:tc>
          <w:tcPr>
            <w:tcW w:w="1126" w:type="dxa"/>
            <w:vAlign w:val="center"/>
          </w:tcPr>
          <w:p w14:paraId="682C0AF4">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占总学分</w:t>
            </w:r>
          </w:p>
          <w:p w14:paraId="0B4A7952">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比例</w:t>
            </w:r>
          </w:p>
        </w:tc>
        <w:tc>
          <w:tcPr>
            <w:tcW w:w="1504" w:type="dxa"/>
            <w:vAlign w:val="center"/>
          </w:tcPr>
          <w:p w14:paraId="44FB8B6D">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备注</w:t>
            </w:r>
          </w:p>
        </w:tc>
      </w:tr>
      <w:tr w14:paraId="63776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59B14AC3">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通识教育平台</w:t>
            </w:r>
          </w:p>
        </w:tc>
        <w:tc>
          <w:tcPr>
            <w:tcW w:w="2598" w:type="dxa"/>
            <w:vAlign w:val="center"/>
          </w:tcPr>
          <w:p w14:paraId="5D471FA7">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通识必修课程模块</w:t>
            </w:r>
          </w:p>
        </w:tc>
        <w:tc>
          <w:tcPr>
            <w:tcW w:w="1140" w:type="dxa"/>
            <w:vAlign w:val="center"/>
          </w:tcPr>
          <w:p w14:paraId="5E52BFF7">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3C450612">
            <w:pPr>
              <w:adjustRightInd w:val="0"/>
              <w:snapToGrid w:val="0"/>
              <w:spacing w:line="240" w:lineRule="exact"/>
              <w:ind w:left="635"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43.5</w:t>
            </w:r>
          </w:p>
        </w:tc>
        <w:tc>
          <w:tcPr>
            <w:tcW w:w="1126" w:type="dxa"/>
            <w:vMerge w:val="restart"/>
            <w:vAlign w:val="center"/>
          </w:tcPr>
          <w:p w14:paraId="25F169A1">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37.96</w:t>
            </w:r>
            <w:r>
              <w:rPr>
                <w:rFonts w:ascii="宋体" w:hAnsi="宋体" w:eastAsia="宋体" w:cs="宋体"/>
                <w:bCs/>
                <w:sz w:val="18"/>
                <w:szCs w:val="18"/>
              </w:rPr>
              <w:t>%</w:t>
            </w:r>
          </w:p>
        </w:tc>
        <w:tc>
          <w:tcPr>
            <w:tcW w:w="1504" w:type="dxa"/>
            <w:vMerge w:val="restart"/>
            <w:vAlign w:val="center"/>
          </w:tcPr>
          <w:p w14:paraId="7E25E21B">
            <w:pPr>
              <w:adjustRightInd w:val="0"/>
              <w:snapToGrid w:val="0"/>
              <w:spacing w:line="240" w:lineRule="exact"/>
              <w:jc w:val="center"/>
              <w:rPr>
                <w:rFonts w:hint="eastAsia" w:ascii="宋体" w:hAnsi="宋体" w:eastAsia="宋体" w:cs="宋体"/>
                <w:bCs/>
                <w:sz w:val="18"/>
                <w:szCs w:val="18"/>
              </w:rPr>
            </w:pPr>
            <w:r>
              <w:rPr>
                <w:rFonts w:hint="eastAsia" w:ascii="宋体" w:hAnsi="宋体" w:eastAsia="宋体" w:cs="宋体"/>
                <w:bCs/>
                <w:sz w:val="18"/>
                <w:szCs w:val="18"/>
              </w:rPr>
              <w:t>两个平台课程学分相加即为总学分。</w:t>
            </w:r>
          </w:p>
          <w:p w14:paraId="308A0CCA">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其中，专业选修课程模块包含专业限选课和专业任选课</w:t>
            </w:r>
          </w:p>
        </w:tc>
      </w:tr>
      <w:tr w14:paraId="6B7D9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4D5BE330">
            <w:pPr>
              <w:widowControl/>
              <w:adjustRightInd w:val="0"/>
              <w:snapToGrid w:val="0"/>
              <w:spacing w:line="240" w:lineRule="exact"/>
              <w:jc w:val="center"/>
              <w:rPr>
                <w:rFonts w:ascii="宋体" w:hAnsi="宋体" w:eastAsia="宋体" w:cs="宋体"/>
                <w:bCs/>
                <w:sz w:val="18"/>
                <w:szCs w:val="18"/>
              </w:rPr>
            </w:pPr>
          </w:p>
        </w:tc>
        <w:tc>
          <w:tcPr>
            <w:tcW w:w="2598" w:type="dxa"/>
            <w:vAlign w:val="center"/>
          </w:tcPr>
          <w:p w14:paraId="74C170B5">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公共选修课程模块</w:t>
            </w:r>
          </w:p>
        </w:tc>
        <w:tc>
          <w:tcPr>
            <w:tcW w:w="1140" w:type="dxa"/>
            <w:vAlign w:val="center"/>
          </w:tcPr>
          <w:p w14:paraId="05425252">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46855769">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3</w:t>
            </w:r>
          </w:p>
        </w:tc>
        <w:tc>
          <w:tcPr>
            <w:tcW w:w="1126" w:type="dxa"/>
            <w:vMerge w:val="continue"/>
            <w:vAlign w:val="center"/>
          </w:tcPr>
          <w:p w14:paraId="027CC48D">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1CD4042F">
            <w:pPr>
              <w:adjustRightInd w:val="0"/>
              <w:snapToGrid w:val="0"/>
              <w:spacing w:line="240" w:lineRule="exact"/>
              <w:ind w:left="635" w:hanging="635" w:hangingChars="353"/>
              <w:jc w:val="center"/>
              <w:rPr>
                <w:rFonts w:ascii="宋体" w:hAnsi="宋体" w:eastAsia="宋体" w:cs="宋体"/>
                <w:bCs/>
                <w:sz w:val="18"/>
                <w:szCs w:val="18"/>
              </w:rPr>
            </w:pPr>
          </w:p>
        </w:tc>
      </w:tr>
      <w:tr w14:paraId="4880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743E40AE">
            <w:pPr>
              <w:adjustRightInd w:val="0"/>
              <w:snapToGrid w:val="0"/>
              <w:spacing w:line="240" w:lineRule="exact"/>
              <w:ind w:left="-104" w:firstLine="90" w:firstLineChars="50"/>
              <w:jc w:val="center"/>
              <w:rPr>
                <w:rFonts w:ascii="宋体" w:hAnsi="宋体" w:eastAsia="宋体" w:cs="宋体"/>
                <w:bCs/>
                <w:sz w:val="18"/>
                <w:szCs w:val="18"/>
              </w:rPr>
            </w:pPr>
            <w:r>
              <w:rPr>
                <w:rFonts w:hint="eastAsia" w:ascii="宋体" w:hAnsi="宋体" w:eastAsia="宋体" w:cs="宋体"/>
                <w:bCs/>
                <w:sz w:val="18"/>
                <w:szCs w:val="18"/>
              </w:rPr>
              <w:t>专业教育平台</w:t>
            </w:r>
          </w:p>
        </w:tc>
        <w:tc>
          <w:tcPr>
            <w:tcW w:w="2598" w:type="dxa"/>
            <w:vAlign w:val="center"/>
          </w:tcPr>
          <w:p w14:paraId="699529FE">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专业基础课程模块</w:t>
            </w:r>
          </w:p>
        </w:tc>
        <w:tc>
          <w:tcPr>
            <w:tcW w:w="1140" w:type="dxa"/>
            <w:vAlign w:val="center"/>
          </w:tcPr>
          <w:p w14:paraId="2E72F078">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7CC56394">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rPr>
              <w:t>1</w:t>
            </w:r>
            <w:r>
              <w:rPr>
                <w:rFonts w:hint="eastAsia" w:ascii="宋体" w:hAnsi="宋体" w:eastAsia="宋体" w:cs="宋体"/>
                <w:bCs/>
                <w:sz w:val="18"/>
                <w:szCs w:val="18"/>
                <w:lang w:val="en-US" w:eastAsia="zh-CN"/>
              </w:rPr>
              <w:t>2</w:t>
            </w:r>
          </w:p>
        </w:tc>
        <w:tc>
          <w:tcPr>
            <w:tcW w:w="1126" w:type="dxa"/>
            <w:vMerge w:val="restart"/>
            <w:vAlign w:val="center"/>
          </w:tcPr>
          <w:p w14:paraId="3D5BFD6C">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62.04</w:t>
            </w:r>
            <w:r>
              <w:rPr>
                <w:rFonts w:ascii="宋体" w:hAnsi="宋体" w:eastAsia="宋体" w:cs="宋体"/>
                <w:bCs/>
                <w:sz w:val="18"/>
                <w:szCs w:val="18"/>
              </w:rPr>
              <w:t>%</w:t>
            </w:r>
          </w:p>
        </w:tc>
        <w:tc>
          <w:tcPr>
            <w:tcW w:w="1504" w:type="dxa"/>
            <w:vMerge w:val="continue"/>
            <w:vAlign w:val="center"/>
          </w:tcPr>
          <w:p w14:paraId="2EA22907">
            <w:pPr>
              <w:adjustRightInd w:val="0"/>
              <w:snapToGrid w:val="0"/>
              <w:spacing w:line="240" w:lineRule="exact"/>
              <w:ind w:left="22" w:hanging="21" w:hangingChars="12"/>
              <w:jc w:val="center"/>
              <w:rPr>
                <w:rFonts w:ascii="宋体" w:hAnsi="宋体" w:eastAsia="宋体" w:cs="宋体"/>
                <w:bCs/>
                <w:sz w:val="18"/>
                <w:szCs w:val="18"/>
              </w:rPr>
            </w:pPr>
          </w:p>
        </w:tc>
      </w:tr>
      <w:tr w14:paraId="717F7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03CB13B8">
            <w:pPr>
              <w:adjustRightInd w:val="0"/>
              <w:snapToGrid w:val="0"/>
              <w:spacing w:line="240" w:lineRule="exact"/>
              <w:ind w:left="-104" w:firstLine="90" w:firstLineChars="50"/>
              <w:jc w:val="center"/>
              <w:rPr>
                <w:rFonts w:ascii="宋体" w:hAnsi="宋体" w:eastAsia="宋体" w:cs="宋体"/>
                <w:bCs/>
                <w:sz w:val="18"/>
                <w:szCs w:val="18"/>
              </w:rPr>
            </w:pPr>
          </w:p>
        </w:tc>
        <w:tc>
          <w:tcPr>
            <w:tcW w:w="2598" w:type="dxa"/>
            <w:vAlign w:val="center"/>
          </w:tcPr>
          <w:p w14:paraId="18D8FF5A">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专业</w:t>
            </w:r>
            <w:r>
              <w:rPr>
                <w:rFonts w:hint="eastAsia" w:ascii="宋体" w:hAnsi="宋体" w:eastAsia="宋体" w:cs="宋体"/>
                <w:bCs/>
                <w:sz w:val="18"/>
                <w:szCs w:val="18"/>
                <w:lang w:val="en-US" w:eastAsia="zh-CN"/>
              </w:rPr>
              <w:t>必修</w:t>
            </w:r>
            <w:r>
              <w:rPr>
                <w:rFonts w:hint="eastAsia" w:ascii="宋体" w:hAnsi="宋体" w:eastAsia="宋体" w:cs="宋体"/>
                <w:bCs/>
                <w:sz w:val="18"/>
                <w:szCs w:val="18"/>
              </w:rPr>
              <w:t>课程模块</w:t>
            </w:r>
          </w:p>
        </w:tc>
        <w:tc>
          <w:tcPr>
            <w:tcW w:w="1140" w:type="dxa"/>
            <w:vAlign w:val="center"/>
          </w:tcPr>
          <w:p w14:paraId="135537B3">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2C1E7E26">
            <w:pPr>
              <w:adjustRightInd w:val="0"/>
              <w:snapToGrid w:val="0"/>
              <w:spacing w:line="240" w:lineRule="exact"/>
              <w:ind w:left="635" w:leftChars="0"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48</w:t>
            </w:r>
          </w:p>
        </w:tc>
        <w:tc>
          <w:tcPr>
            <w:tcW w:w="1126" w:type="dxa"/>
            <w:vMerge w:val="continue"/>
            <w:vAlign w:val="center"/>
          </w:tcPr>
          <w:p w14:paraId="5A2E5855">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345A673B">
            <w:pPr>
              <w:adjustRightInd w:val="0"/>
              <w:snapToGrid w:val="0"/>
              <w:spacing w:line="240" w:lineRule="exact"/>
              <w:ind w:left="22" w:hanging="21" w:hangingChars="12"/>
              <w:jc w:val="center"/>
              <w:rPr>
                <w:rFonts w:ascii="宋体" w:hAnsi="宋体" w:eastAsia="宋体" w:cs="宋体"/>
                <w:bCs/>
                <w:sz w:val="18"/>
                <w:szCs w:val="18"/>
              </w:rPr>
            </w:pPr>
          </w:p>
        </w:tc>
      </w:tr>
      <w:tr w14:paraId="132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266389C4">
            <w:pPr>
              <w:adjustRightInd w:val="0"/>
              <w:snapToGrid w:val="0"/>
              <w:spacing w:line="240" w:lineRule="exact"/>
              <w:ind w:left="-104" w:firstLine="90" w:firstLineChars="50"/>
              <w:jc w:val="center"/>
              <w:rPr>
                <w:rFonts w:ascii="宋体" w:hAnsi="宋体" w:eastAsia="宋体" w:cs="宋体"/>
                <w:bCs/>
                <w:sz w:val="18"/>
                <w:szCs w:val="18"/>
              </w:rPr>
            </w:pPr>
          </w:p>
        </w:tc>
        <w:tc>
          <w:tcPr>
            <w:tcW w:w="2598" w:type="dxa"/>
            <w:vAlign w:val="center"/>
          </w:tcPr>
          <w:p w14:paraId="545D8565">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专业选修课程模块</w:t>
            </w:r>
          </w:p>
        </w:tc>
        <w:tc>
          <w:tcPr>
            <w:tcW w:w="1140" w:type="dxa"/>
            <w:vAlign w:val="center"/>
          </w:tcPr>
          <w:p w14:paraId="42516D50">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4CA6289B">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rPr>
              <w:t>1</w:t>
            </w:r>
            <w:r>
              <w:rPr>
                <w:rFonts w:hint="eastAsia" w:ascii="宋体" w:hAnsi="宋体" w:eastAsia="宋体" w:cs="宋体"/>
                <w:bCs/>
                <w:sz w:val="18"/>
                <w:szCs w:val="18"/>
                <w:lang w:val="en-US" w:eastAsia="zh-CN"/>
              </w:rPr>
              <w:t>6</w:t>
            </w:r>
          </w:p>
        </w:tc>
        <w:tc>
          <w:tcPr>
            <w:tcW w:w="1126" w:type="dxa"/>
            <w:vMerge w:val="continue"/>
            <w:vAlign w:val="center"/>
          </w:tcPr>
          <w:p w14:paraId="148384E1">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7E08CDA6">
            <w:pPr>
              <w:adjustRightInd w:val="0"/>
              <w:snapToGrid w:val="0"/>
              <w:spacing w:line="240" w:lineRule="exact"/>
              <w:ind w:left="22" w:hanging="21" w:hangingChars="12"/>
              <w:jc w:val="center"/>
              <w:rPr>
                <w:rFonts w:ascii="宋体" w:hAnsi="宋体" w:eastAsia="宋体" w:cs="宋体"/>
                <w:bCs/>
                <w:sz w:val="18"/>
                <w:szCs w:val="18"/>
              </w:rPr>
            </w:pPr>
          </w:p>
        </w:tc>
      </w:tr>
      <w:tr w14:paraId="555A1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5C049BEA">
            <w:pPr>
              <w:adjustRightInd w:val="0"/>
              <w:snapToGrid w:val="0"/>
              <w:spacing w:line="240" w:lineRule="exact"/>
              <w:jc w:val="center"/>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330F116D">
            <w:pPr>
              <w:adjustRightInd w:val="0"/>
              <w:snapToGrid w:val="0"/>
              <w:spacing w:line="240" w:lineRule="exact"/>
              <w:ind w:left="638" w:leftChars="0" w:hanging="638" w:hangingChars="353"/>
              <w:jc w:val="center"/>
              <w:rPr>
                <w:rFonts w:hint="default" w:ascii="宋体" w:hAnsi="宋体" w:eastAsia="宋体" w:cs="宋体"/>
                <w:b/>
                <w:sz w:val="18"/>
                <w:szCs w:val="18"/>
                <w:lang w:val="en-US"/>
              </w:rPr>
            </w:pPr>
            <w:r>
              <w:rPr>
                <w:rFonts w:hint="eastAsia" w:ascii="宋体" w:hAnsi="宋体" w:eastAsia="宋体" w:cs="宋体"/>
                <w:b/>
                <w:sz w:val="18"/>
                <w:szCs w:val="18"/>
                <w:lang w:val="en-US" w:eastAsia="zh-CN"/>
              </w:rPr>
              <w:t>122.5</w:t>
            </w:r>
          </w:p>
        </w:tc>
        <w:tc>
          <w:tcPr>
            <w:tcW w:w="1126" w:type="dxa"/>
            <w:vAlign w:val="center"/>
          </w:tcPr>
          <w:p w14:paraId="38CADD0E">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w:t>
            </w:r>
          </w:p>
        </w:tc>
        <w:tc>
          <w:tcPr>
            <w:tcW w:w="1504" w:type="dxa"/>
            <w:vMerge w:val="continue"/>
            <w:vAlign w:val="center"/>
          </w:tcPr>
          <w:p w14:paraId="6FB8AB0C">
            <w:pPr>
              <w:adjustRightInd w:val="0"/>
              <w:snapToGrid w:val="0"/>
              <w:spacing w:line="240" w:lineRule="exact"/>
              <w:ind w:left="635" w:hanging="635" w:hangingChars="353"/>
              <w:jc w:val="center"/>
              <w:rPr>
                <w:rFonts w:ascii="宋体" w:hAnsi="宋体" w:eastAsia="宋体" w:cs="宋体"/>
                <w:bCs/>
                <w:sz w:val="18"/>
                <w:szCs w:val="18"/>
              </w:rPr>
            </w:pPr>
          </w:p>
        </w:tc>
      </w:tr>
      <w:tr w14:paraId="789C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13E3DE67">
            <w:pPr>
              <w:adjustRightInd w:val="0"/>
              <w:snapToGrid w:val="0"/>
              <w:spacing w:line="240" w:lineRule="exact"/>
              <w:ind w:left="-104" w:firstLine="90" w:firstLineChars="50"/>
              <w:jc w:val="center"/>
              <w:rPr>
                <w:rFonts w:ascii="宋体" w:hAnsi="宋体" w:eastAsia="宋体" w:cs="宋体"/>
                <w:bCs/>
                <w:sz w:val="18"/>
                <w:szCs w:val="18"/>
              </w:rPr>
            </w:pPr>
            <w:r>
              <w:rPr>
                <w:rFonts w:hint="eastAsia" w:ascii="宋体" w:hAnsi="宋体" w:eastAsia="宋体" w:cs="宋体"/>
                <w:bCs/>
                <w:sz w:val="18"/>
                <w:szCs w:val="18"/>
              </w:rPr>
              <w:t>实践教育平台</w:t>
            </w:r>
          </w:p>
        </w:tc>
        <w:tc>
          <w:tcPr>
            <w:tcW w:w="2598" w:type="dxa"/>
            <w:vAlign w:val="center"/>
          </w:tcPr>
          <w:p w14:paraId="497D86B9">
            <w:pPr>
              <w:adjustRightInd w:val="0"/>
              <w:snapToGrid w:val="0"/>
              <w:spacing w:line="240" w:lineRule="exact"/>
              <w:ind w:left="-104"/>
              <w:jc w:val="center"/>
              <w:rPr>
                <w:rFonts w:ascii="宋体" w:hAnsi="宋体" w:eastAsia="宋体" w:cs="宋体"/>
                <w:bCs/>
                <w:spacing w:val="-10"/>
                <w:sz w:val="18"/>
                <w:szCs w:val="18"/>
              </w:rPr>
            </w:pPr>
            <w:r>
              <w:rPr>
                <w:rFonts w:hint="eastAsia" w:ascii="宋体" w:hAnsi="宋体" w:eastAsia="宋体" w:cs="宋体"/>
                <w:bCs/>
                <w:sz w:val="18"/>
                <w:szCs w:val="18"/>
              </w:rPr>
              <w:t>公共基础必修课程模块</w:t>
            </w:r>
          </w:p>
        </w:tc>
        <w:tc>
          <w:tcPr>
            <w:tcW w:w="1140" w:type="dxa"/>
            <w:vAlign w:val="center"/>
          </w:tcPr>
          <w:p w14:paraId="15AC75EC">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75F66C3E">
            <w:pPr>
              <w:adjustRightInd w:val="0"/>
              <w:snapToGrid w:val="0"/>
              <w:spacing w:line="240" w:lineRule="exact"/>
              <w:ind w:left="635" w:leftChars="0" w:hanging="635" w:hangingChars="353"/>
              <w:jc w:val="center"/>
              <w:rPr>
                <w:rFonts w:hint="eastAsia" w:ascii="宋体" w:hAnsi="宋体" w:eastAsia="宋体" w:cs="宋体"/>
                <w:bCs/>
                <w:sz w:val="18"/>
                <w:szCs w:val="18"/>
                <w:lang w:eastAsia="zh-CN"/>
              </w:rPr>
            </w:pPr>
            <w:r>
              <w:rPr>
                <w:rFonts w:hint="eastAsia" w:ascii="宋体" w:hAnsi="宋体" w:eastAsia="宋体" w:cs="宋体"/>
                <w:bCs/>
                <w:sz w:val="18"/>
                <w:szCs w:val="18"/>
                <w:lang w:val="en-US" w:eastAsia="zh-CN"/>
              </w:rPr>
              <w:t>4</w:t>
            </w:r>
          </w:p>
        </w:tc>
        <w:tc>
          <w:tcPr>
            <w:tcW w:w="1126" w:type="dxa"/>
            <w:vMerge w:val="restart"/>
            <w:vAlign w:val="center"/>
          </w:tcPr>
          <w:p w14:paraId="2628A94E">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lang w:val="en-US" w:eastAsia="zh-CN"/>
              </w:rPr>
              <w:t>28.57</w:t>
            </w:r>
            <w:r>
              <w:rPr>
                <w:rFonts w:ascii="宋体" w:hAnsi="宋体" w:eastAsia="宋体" w:cs="宋体"/>
                <w:bCs/>
                <w:sz w:val="18"/>
                <w:szCs w:val="18"/>
              </w:rPr>
              <w:t>%</w:t>
            </w:r>
          </w:p>
        </w:tc>
        <w:tc>
          <w:tcPr>
            <w:tcW w:w="1504" w:type="dxa"/>
            <w:vMerge w:val="restart"/>
            <w:vAlign w:val="center"/>
          </w:tcPr>
          <w:p w14:paraId="2B11F78A">
            <w:pPr>
              <w:adjustRightInd w:val="0"/>
              <w:snapToGrid w:val="0"/>
              <w:spacing w:line="240" w:lineRule="exact"/>
              <w:jc w:val="center"/>
              <w:rPr>
                <w:rFonts w:ascii="宋体" w:hAnsi="宋体" w:eastAsia="宋体" w:cs="宋体"/>
                <w:bCs/>
                <w:sz w:val="18"/>
                <w:szCs w:val="18"/>
              </w:rPr>
            </w:pPr>
          </w:p>
        </w:tc>
      </w:tr>
      <w:tr w14:paraId="61CFB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2C1EA9C6">
            <w:pPr>
              <w:adjustRightInd w:val="0"/>
              <w:snapToGrid w:val="0"/>
              <w:spacing w:line="240" w:lineRule="exact"/>
              <w:ind w:left="-104" w:firstLine="90" w:firstLineChars="50"/>
              <w:jc w:val="center"/>
              <w:rPr>
                <w:rFonts w:ascii="宋体" w:hAnsi="宋体" w:eastAsia="宋体" w:cs="宋体"/>
                <w:bCs/>
                <w:sz w:val="18"/>
                <w:szCs w:val="18"/>
              </w:rPr>
            </w:pPr>
          </w:p>
        </w:tc>
        <w:tc>
          <w:tcPr>
            <w:tcW w:w="2598" w:type="dxa"/>
            <w:vAlign w:val="center"/>
          </w:tcPr>
          <w:p w14:paraId="762BFD30">
            <w:pPr>
              <w:adjustRightInd w:val="0"/>
              <w:snapToGrid w:val="0"/>
              <w:spacing w:line="240" w:lineRule="exact"/>
              <w:ind w:left="-104"/>
              <w:jc w:val="center"/>
              <w:rPr>
                <w:rFonts w:ascii="宋体" w:hAnsi="宋体" w:eastAsia="宋体" w:cs="宋体"/>
                <w:bCs/>
                <w:spacing w:val="-10"/>
                <w:sz w:val="18"/>
                <w:szCs w:val="18"/>
              </w:rPr>
            </w:pPr>
            <w:r>
              <w:rPr>
                <w:rFonts w:hint="eastAsia" w:ascii="宋体" w:hAnsi="宋体" w:eastAsia="宋体" w:cs="宋体"/>
                <w:bCs/>
                <w:sz w:val="18"/>
                <w:szCs w:val="18"/>
              </w:rPr>
              <w:t>专业必修课程模块</w:t>
            </w:r>
          </w:p>
        </w:tc>
        <w:tc>
          <w:tcPr>
            <w:tcW w:w="1140" w:type="dxa"/>
            <w:vAlign w:val="center"/>
          </w:tcPr>
          <w:p w14:paraId="0C535666">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316D672B">
            <w:pPr>
              <w:adjustRightInd w:val="0"/>
              <w:snapToGrid w:val="0"/>
              <w:spacing w:line="240" w:lineRule="exact"/>
              <w:ind w:left="635" w:leftChars="0" w:hanging="635" w:hangingChars="353"/>
              <w:jc w:val="center"/>
              <w:rPr>
                <w:rFonts w:hint="eastAsia" w:ascii="宋体" w:hAnsi="宋体" w:eastAsia="宋体" w:cs="宋体"/>
                <w:bCs/>
                <w:sz w:val="18"/>
                <w:szCs w:val="18"/>
                <w:lang w:eastAsia="zh-CN"/>
              </w:rPr>
            </w:pPr>
            <w:r>
              <w:rPr>
                <w:rFonts w:hint="eastAsia" w:ascii="宋体" w:hAnsi="宋体" w:eastAsia="宋体" w:cs="宋体"/>
                <w:bCs/>
                <w:sz w:val="18"/>
                <w:szCs w:val="18"/>
              </w:rPr>
              <w:t>3</w:t>
            </w:r>
            <w:r>
              <w:rPr>
                <w:rFonts w:hint="eastAsia" w:ascii="宋体" w:hAnsi="宋体" w:eastAsia="宋体" w:cs="宋体"/>
                <w:bCs/>
                <w:sz w:val="18"/>
                <w:szCs w:val="18"/>
                <w:lang w:val="en-US" w:eastAsia="zh-CN"/>
              </w:rPr>
              <w:t>1</w:t>
            </w:r>
          </w:p>
        </w:tc>
        <w:tc>
          <w:tcPr>
            <w:tcW w:w="1126" w:type="dxa"/>
            <w:vMerge w:val="continue"/>
            <w:vAlign w:val="center"/>
          </w:tcPr>
          <w:p w14:paraId="153C1F64">
            <w:pPr>
              <w:adjustRightInd w:val="0"/>
              <w:snapToGrid w:val="0"/>
              <w:spacing w:line="240" w:lineRule="exact"/>
              <w:ind w:left="635" w:leftChars="0" w:hanging="635" w:hangingChars="353"/>
              <w:jc w:val="center"/>
              <w:rPr>
                <w:rFonts w:ascii="宋体" w:hAnsi="宋体" w:eastAsia="宋体" w:cs="宋体"/>
                <w:bCs/>
                <w:sz w:val="18"/>
                <w:szCs w:val="18"/>
              </w:rPr>
            </w:pPr>
          </w:p>
        </w:tc>
        <w:tc>
          <w:tcPr>
            <w:tcW w:w="1504" w:type="dxa"/>
            <w:vMerge w:val="continue"/>
            <w:vAlign w:val="center"/>
          </w:tcPr>
          <w:p w14:paraId="29FA58C1">
            <w:pPr>
              <w:adjustRightInd w:val="0"/>
              <w:snapToGrid w:val="0"/>
              <w:spacing w:line="240" w:lineRule="exact"/>
              <w:jc w:val="center"/>
              <w:rPr>
                <w:rFonts w:ascii="宋体" w:hAnsi="宋体" w:eastAsia="宋体" w:cs="宋体"/>
                <w:bCs/>
                <w:sz w:val="18"/>
                <w:szCs w:val="18"/>
              </w:rPr>
            </w:pPr>
          </w:p>
        </w:tc>
      </w:tr>
      <w:tr w14:paraId="4779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69895408">
            <w:pPr>
              <w:adjustRightInd w:val="0"/>
              <w:snapToGrid w:val="0"/>
              <w:spacing w:line="240" w:lineRule="exact"/>
              <w:jc w:val="center"/>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2C260308">
            <w:pPr>
              <w:adjustRightInd w:val="0"/>
              <w:snapToGrid w:val="0"/>
              <w:spacing w:line="240" w:lineRule="exact"/>
              <w:ind w:left="638" w:leftChars="0" w:hanging="638" w:hangingChars="353"/>
              <w:jc w:val="center"/>
              <w:rPr>
                <w:rFonts w:hint="default" w:ascii="宋体" w:hAnsi="宋体" w:eastAsia="宋体" w:cs="宋体"/>
                <w:b/>
                <w:sz w:val="18"/>
                <w:szCs w:val="18"/>
                <w:lang w:val="en-US" w:eastAsia="zh-CN"/>
              </w:rPr>
            </w:pPr>
            <w:r>
              <w:rPr>
                <w:rFonts w:hint="eastAsia" w:ascii="宋体" w:hAnsi="宋体" w:eastAsia="宋体" w:cs="宋体"/>
                <w:b/>
                <w:sz w:val="18"/>
                <w:szCs w:val="18"/>
                <w:lang w:val="en-US" w:eastAsia="zh-CN"/>
              </w:rPr>
              <w:t>35</w:t>
            </w:r>
          </w:p>
        </w:tc>
        <w:tc>
          <w:tcPr>
            <w:tcW w:w="1126" w:type="dxa"/>
            <w:vAlign w:val="center"/>
          </w:tcPr>
          <w:p w14:paraId="78CB9139">
            <w:pPr>
              <w:adjustRightInd w:val="0"/>
              <w:snapToGrid w:val="0"/>
              <w:spacing w:line="240" w:lineRule="exact"/>
              <w:ind w:left="635" w:leftChars="0" w:hanging="635" w:hangingChars="353"/>
              <w:jc w:val="center"/>
              <w:rPr>
                <w:rFonts w:ascii="宋体" w:hAnsi="宋体" w:eastAsia="宋体" w:cs="宋体"/>
                <w:bCs/>
                <w:sz w:val="18"/>
                <w:szCs w:val="18"/>
              </w:rPr>
            </w:pPr>
            <w:r>
              <w:rPr>
                <w:rFonts w:hint="eastAsia" w:ascii="宋体" w:hAnsi="宋体" w:eastAsia="宋体" w:cs="宋体"/>
                <w:bCs/>
                <w:sz w:val="18"/>
                <w:szCs w:val="18"/>
              </w:rPr>
              <w:t>/</w:t>
            </w:r>
          </w:p>
        </w:tc>
        <w:tc>
          <w:tcPr>
            <w:tcW w:w="1504" w:type="dxa"/>
            <w:vMerge w:val="continue"/>
            <w:vAlign w:val="center"/>
          </w:tcPr>
          <w:p w14:paraId="062ECB78">
            <w:pPr>
              <w:adjustRightInd w:val="0"/>
              <w:snapToGrid w:val="0"/>
              <w:spacing w:line="240" w:lineRule="exact"/>
              <w:jc w:val="center"/>
              <w:rPr>
                <w:rFonts w:ascii="宋体" w:hAnsi="宋体" w:eastAsia="宋体" w:cs="宋体"/>
                <w:bCs/>
                <w:sz w:val="18"/>
                <w:szCs w:val="18"/>
              </w:rPr>
            </w:pPr>
          </w:p>
        </w:tc>
      </w:tr>
      <w:tr w14:paraId="3D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5778" w:type="dxa"/>
            <w:gridSpan w:val="3"/>
            <w:vAlign w:val="center"/>
          </w:tcPr>
          <w:p w14:paraId="2AD64507">
            <w:pPr>
              <w:adjustRightInd w:val="0"/>
              <w:snapToGrid w:val="0"/>
              <w:spacing w:line="240" w:lineRule="exact"/>
              <w:ind w:left="-104" w:firstLine="90" w:firstLineChars="50"/>
              <w:jc w:val="center"/>
              <w:rPr>
                <w:rFonts w:ascii="宋体" w:hAnsi="宋体" w:eastAsia="宋体" w:cs="宋体"/>
                <w:bCs/>
                <w:sz w:val="18"/>
                <w:szCs w:val="18"/>
              </w:rPr>
            </w:pPr>
            <w:r>
              <w:rPr>
                <w:rFonts w:hint="eastAsia" w:ascii="宋体" w:hAnsi="宋体" w:eastAsia="宋体" w:cs="宋体"/>
                <w:bCs/>
                <w:sz w:val="18"/>
                <w:szCs w:val="18"/>
              </w:rPr>
              <w:t>素质拓展平台</w:t>
            </w:r>
          </w:p>
        </w:tc>
        <w:tc>
          <w:tcPr>
            <w:tcW w:w="1030" w:type="dxa"/>
            <w:vAlign w:val="center"/>
          </w:tcPr>
          <w:p w14:paraId="31684A56">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8</w:t>
            </w:r>
          </w:p>
        </w:tc>
        <w:tc>
          <w:tcPr>
            <w:tcW w:w="2630" w:type="dxa"/>
            <w:gridSpan w:val="2"/>
            <w:vAlign w:val="center"/>
          </w:tcPr>
          <w:p w14:paraId="003E7EF6">
            <w:pPr>
              <w:adjustRightInd w:val="0"/>
              <w:snapToGrid w:val="0"/>
              <w:spacing w:line="240" w:lineRule="exact"/>
              <w:ind w:left="-104" w:firstLine="270" w:firstLineChars="150"/>
              <w:jc w:val="left"/>
              <w:rPr>
                <w:rFonts w:ascii="宋体" w:hAnsi="宋体" w:eastAsia="宋体" w:cs="宋体"/>
                <w:bCs/>
                <w:sz w:val="18"/>
                <w:szCs w:val="18"/>
              </w:rPr>
            </w:pPr>
            <w:r>
              <w:rPr>
                <w:rFonts w:hint="eastAsia" w:ascii="宋体" w:hAnsi="宋体" w:eastAsia="宋体" w:cs="宋体"/>
                <w:bCs/>
                <w:sz w:val="18"/>
                <w:szCs w:val="18"/>
              </w:rPr>
              <w:t>不列入教学进程计划表，学生毕业前在总学分之外至少必修综合素质拓展教育8学分。具体实施与认定按</w:t>
            </w:r>
            <w:r>
              <w:rPr>
                <w:rFonts w:hint="eastAsia" w:ascii="宋体" w:hAnsi="宋体" w:eastAsia="宋体" w:cs="宋体"/>
                <w:kern w:val="0"/>
                <w:sz w:val="18"/>
                <w:szCs w:val="18"/>
                <w:shd w:val="clear" w:color="auto" w:fill="FFFFFF"/>
              </w:rPr>
              <w:t>《黄河交通学院学生素质拓展学分认定及管理办法》</w:t>
            </w:r>
            <w:r>
              <w:rPr>
                <w:rFonts w:hint="eastAsia" w:ascii="宋体" w:hAnsi="宋体" w:eastAsia="宋体" w:cs="宋体"/>
                <w:bCs/>
                <w:sz w:val="18"/>
                <w:szCs w:val="18"/>
              </w:rPr>
              <w:t>。</w:t>
            </w:r>
          </w:p>
        </w:tc>
      </w:tr>
    </w:tbl>
    <w:p w14:paraId="51446879">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（二）课程设置表</w:t>
      </w:r>
    </w:p>
    <w:p w14:paraId="25821E19">
      <w:pPr>
        <w:pStyle w:val="18"/>
        <w:keepNext w:val="0"/>
        <w:keepLines w:val="0"/>
        <w:pageBreakBefore w:val="0"/>
        <w:widowControl w:val="0"/>
        <w:kinsoku/>
        <w:wordWrap/>
        <w:overflowPunct/>
        <w:topLinePunct w:val="0"/>
        <w:autoSpaceDE/>
        <w:autoSpaceDN/>
        <w:bidi w:val="0"/>
        <w:adjustRightInd/>
        <w:snapToGrid/>
        <w:spacing w:before="95" w:beforeLines="30" w:after="95" w:afterLines="30" w:line="240" w:lineRule="exact"/>
        <w:ind w:left="0" w:leftChars="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表8  汽车检测与维修技术专业课程设置表</w:t>
      </w:r>
    </w:p>
    <w:tbl>
      <w:tblPr>
        <w:tblStyle w:val="13"/>
        <w:tblW w:w="568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80"/>
        <w:gridCol w:w="520"/>
        <w:gridCol w:w="1222"/>
        <w:gridCol w:w="2367"/>
        <w:gridCol w:w="580"/>
        <w:gridCol w:w="470"/>
        <w:gridCol w:w="540"/>
        <w:gridCol w:w="570"/>
        <w:gridCol w:w="560"/>
        <w:gridCol w:w="620"/>
        <w:gridCol w:w="1536"/>
      </w:tblGrid>
      <w:tr w14:paraId="10C255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7" w:hRule="atLeast"/>
          <w:tblHeader/>
          <w:jc w:val="center"/>
        </w:trPr>
        <w:tc>
          <w:tcPr>
            <w:tcW w:w="253" w:type="pct"/>
            <w:vMerge w:val="restart"/>
            <w:tcBorders>
              <w:tl2br w:val="nil"/>
              <w:tr2bl w:val="nil"/>
            </w:tcBorders>
            <w:shd w:val="clear" w:color="auto" w:fill="auto"/>
            <w:tcMar>
              <w:top w:w="12" w:type="dxa"/>
              <w:left w:w="12" w:type="dxa"/>
              <w:right w:w="12" w:type="dxa"/>
            </w:tcMar>
            <w:vAlign w:val="center"/>
          </w:tcPr>
          <w:p w14:paraId="2DE33E06">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平台模块</w:t>
            </w:r>
          </w:p>
        </w:tc>
        <w:tc>
          <w:tcPr>
            <w:tcW w:w="274" w:type="pct"/>
            <w:vMerge w:val="restart"/>
            <w:tcBorders>
              <w:tl2br w:val="nil"/>
              <w:tr2bl w:val="nil"/>
            </w:tcBorders>
            <w:shd w:val="clear" w:color="auto" w:fill="auto"/>
            <w:tcMar>
              <w:top w:w="12" w:type="dxa"/>
              <w:left w:w="12" w:type="dxa"/>
              <w:right w:w="12" w:type="dxa"/>
            </w:tcMar>
            <w:vAlign w:val="center"/>
          </w:tcPr>
          <w:p w14:paraId="65EA5362">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类别</w:t>
            </w:r>
          </w:p>
          <w:p w14:paraId="2E4725FF">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性质</w:t>
            </w:r>
          </w:p>
        </w:tc>
        <w:tc>
          <w:tcPr>
            <w:tcW w:w="645" w:type="pct"/>
            <w:vMerge w:val="restart"/>
            <w:tcBorders>
              <w:tl2br w:val="nil"/>
              <w:tr2bl w:val="nil"/>
            </w:tcBorders>
            <w:shd w:val="clear" w:color="auto" w:fill="auto"/>
            <w:tcMar>
              <w:top w:w="12" w:type="dxa"/>
              <w:left w:w="12" w:type="dxa"/>
              <w:right w:w="12" w:type="dxa"/>
            </w:tcMar>
            <w:vAlign w:val="center"/>
          </w:tcPr>
          <w:p w14:paraId="52E6499B">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课程代码</w:t>
            </w:r>
          </w:p>
        </w:tc>
        <w:tc>
          <w:tcPr>
            <w:tcW w:w="1250" w:type="pct"/>
            <w:vMerge w:val="restart"/>
            <w:tcBorders>
              <w:tl2br w:val="nil"/>
              <w:tr2bl w:val="nil"/>
            </w:tcBorders>
            <w:shd w:val="clear" w:color="auto" w:fill="auto"/>
            <w:tcMar>
              <w:top w:w="12" w:type="dxa"/>
              <w:left w:w="12" w:type="dxa"/>
              <w:right w:w="12" w:type="dxa"/>
            </w:tcMar>
            <w:vAlign w:val="center"/>
          </w:tcPr>
          <w:p w14:paraId="30F1A44E">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课程名称</w:t>
            </w:r>
          </w:p>
        </w:tc>
        <w:tc>
          <w:tcPr>
            <w:tcW w:w="306" w:type="pct"/>
            <w:vMerge w:val="restart"/>
            <w:tcBorders>
              <w:tl2br w:val="nil"/>
              <w:tr2bl w:val="nil"/>
            </w:tcBorders>
            <w:shd w:val="clear" w:color="auto" w:fill="auto"/>
            <w:tcMar>
              <w:top w:w="12" w:type="dxa"/>
              <w:left w:w="12" w:type="dxa"/>
              <w:right w:w="12" w:type="dxa"/>
            </w:tcMar>
            <w:vAlign w:val="center"/>
          </w:tcPr>
          <w:p w14:paraId="6D063480">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学分</w:t>
            </w:r>
          </w:p>
        </w:tc>
        <w:tc>
          <w:tcPr>
            <w:tcW w:w="248" w:type="pct"/>
            <w:vMerge w:val="restart"/>
            <w:tcBorders>
              <w:tl2br w:val="nil"/>
              <w:tr2bl w:val="nil"/>
            </w:tcBorders>
            <w:shd w:val="clear" w:color="auto" w:fill="auto"/>
            <w:tcMar>
              <w:top w:w="12" w:type="dxa"/>
              <w:left w:w="12" w:type="dxa"/>
              <w:right w:w="12" w:type="dxa"/>
            </w:tcMar>
            <w:vAlign w:val="center"/>
          </w:tcPr>
          <w:p w14:paraId="6AC90779">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学时</w:t>
            </w:r>
          </w:p>
        </w:tc>
        <w:tc>
          <w:tcPr>
            <w:tcW w:w="586" w:type="pct"/>
            <w:gridSpan w:val="2"/>
            <w:tcBorders>
              <w:tl2br w:val="nil"/>
              <w:tr2bl w:val="nil"/>
            </w:tcBorders>
            <w:shd w:val="clear" w:color="auto" w:fill="auto"/>
            <w:tcMar>
              <w:top w:w="12" w:type="dxa"/>
              <w:left w:w="12" w:type="dxa"/>
              <w:right w:w="12" w:type="dxa"/>
            </w:tcMar>
            <w:vAlign w:val="center"/>
          </w:tcPr>
          <w:p w14:paraId="12D56ED3">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其中</w:t>
            </w:r>
          </w:p>
        </w:tc>
        <w:tc>
          <w:tcPr>
            <w:tcW w:w="295" w:type="pct"/>
            <w:vMerge w:val="restart"/>
            <w:tcBorders>
              <w:tl2br w:val="nil"/>
              <w:tr2bl w:val="nil"/>
            </w:tcBorders>
            <w:shd w:val="clear" w:color="auto" w:fill="auto"/>
            <w:tcMar>
              <w:top w:w="12" w:type="dxa"/>
              <w:left w:w="12" w:type="dxa"/>
              <w:right w:w="12" w:type="dxa"/>
            </w:tcMar>
            <w:vAlign w:val="center"/>
          </w:tcPr>
          <w:p w14:paraId="6232B9DF">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考核</w:t>
            </w:r>
          </w:p>
          <w:p w14:paraId="0B02CB14">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形式</w:t>
            </w:r>
          </w:p>
        </w:tc>
        <w:tc>
          <w:tcPr>
            <w:tcW w:w="327" w:type="pct"/>
            <w:vMerge w:val="restart"/>
            <w:tcBorders>
              <w:tl2br w:val="nil"/>
              <w:tr2bl w:val="nil"/>
            </w:tcBorders>
            <w:shd w:val="clear" w:color="auto" w:fill="auto"/>
            <w:tcMar>
              <w:top w:w="12" w:type="dxa"/>
              <w:left w:w="12" w:type="dxa"/>
              <w:right w:w="12" w:type="dxa"/>
            </w:tcMar>
            <w:vAlign w:val="center"/>
          </w:tcPr>
          <w:p w14:paraId="4CFE9F02">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开设</w:t>
            </w:r>
          </w:p>
          <w:p w14:paraId="19C2CA00">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学期</w:t>
            </w:r>
          </w:p>
        </w:tc>
        <w:tc>
          <w:tcPr>
            <w:tcW w:w="811" w:type="pct"/>
            <w:vMerge w:val="restart"/>
            <w:tcBorders>
              <w:tl2br w:val="nil"/>
              <w:tr2bl w:val="nil"/>
            </w:tcBorders>
            <w:shd w:val="clear" w:color="auto" w:fill="auto"/>
            <w:tcMar>
              <w:top w:w="12" w:type="dxa"/>
              <w:left w:w="12" w:type="dxa"/>
              <w:right w:w="12" w:type="dxa"/>
            </w:tcMar>
            <w:vAlign w:val="center"/>
          </w:tcPr>
          <w:p w14:paraId="24CF6FD9">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备注</w:t>
            </w:r>
          </w:p>
        </w:tc>
      </w:tr>
      <w:tr w14:paraId="18156F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Header/>
          <w:jc w:val="center"/>
        </w:trPr>
        <w:tc>
          <w:tcPr>
            <w:tcW w:w="253" w:type="pct"/>
            <w:vMerge w:val="continue"/>
            <w:tcBorders>
              <w:tl2br w:val="nil"/>
              <w:tr2bl w:val="nil"/>
            </w:tcBorders>
            <w:shd w:val="clear" w:color="auto" w:fill="auto"/>
            <w:tcMar>
              <w:top w:w="12" w:type="dxa"/>
              <w:left w:w="12" w:type="dxa"/>
              <w:right w:w="12" w:type="dxa"/>
            </w:tcMar>
            <w:vAlign w:val="center"/>
          </w:tcPr>
          <w:p w14:paraId="2C6386C7">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274" w:type="pct"/>
            <w:vMerge w:val="continue"/>
            <w:tcBorders>
              <w:tl2br w:val="nil"/>
              <w:tr2bl w:val="nil"/>
            </w:tcBorders>
            <w:shd w:val="clear" w:color="auto" w:fill="auto"/>
            <w:tcMar>
              <w:top w:w="12" w:type="dxa"/>
              <w:left w:w="12" w:type="dxa"/>
              <w:right w:w="12" w:type="dxa"/>
            </w:tcMar>
            <w:vAlign w:val="center"/>
          </w:tcPr>
          <w:p w14:paraId="538C3E87">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645" w:type="pct"/>
            <w:vMerge w:val="continue"/>
            <w:tcBorders>
              <w:tl2br w:val="nil"/>
              <w:tr2bl w:val="nil"/>
            </w:tcBorders>
            <w:shd w:val="clear" w:color="auto" w:fill="auto"/>
            <w:tcMar>
              <w:top w:w="12" w:type="dxa"/>
              <w:left w:w="12" w:type="dxa"/>
              <w:right w:w="12" w:type="dxa"/>
            </w:tcMar>
            <w:vAlign w:val="center"/>
          </w:tcPr>
          <w:p w14:paraId="6F76621F">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1250" w:type="pct"/>
            <w:vMerge w:val="continue"/>
            <w:tcBorders>
              <w:tl2br w:val="nil"/>
              <w:tr2bl w:val="nil"/>
            </w:tcBorders>
            <w:shd w:val="clear" w:color="auto" w:fill="auto"/>
            <w:tcMar>
              <w:top w:w="12" w:type="dxa"/>
              <w:left w:w="12" w:type="dxa"/>
              <w:right w:w="12" w:type="dxa"/>
            </w:tcMar>
            <w:vAlign w:val="center"/>
          </w:tcPr>
          <w:p w14:paraId="5BAD3EC0">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306" w:type="pct"/>
            <w:vMerge w:val="continue"/>
            <w:tcBorders>
              <w:tl2br w:val="nil"/>
              <w:tr2bl w:val="nil"/>
            </w:tcBorders>
            <w:shd w:val="clear" w:color="auto" w:fill="auto"/>
            <w:tcMar>
              <w:top w:w="12" w:type="dxa"/>
              <w:left w:w="12" w:type="dxa"/>
              <w:right w:w="12" w:type="dxa"/>
            </w:tcMar>
            <w:vAlign w:val="center"/>
          </w:tcPr>
          <w:p w14:paraId="493E5B4D">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248" w:type="pct"/>
            <w:vMerge w:val="continue"/>
            <w:tcBorders>
              <w:tl2br w:val="nil"/>
              <w:tr2bl w:val="nil"/>
            </w:tcBorders>
            <w:shd w:val="clear" w:color="auto" w:fill="auto"/>
            <w:tcMar>
              <w:top w:w="12" w:type="dxa"/>
              <w:left w:w="12" w:type="dxa"/>
              <w:right w:w="12" w:type="dxa"/>
            </w:tcMar>
            <w:vAlign w:val="center"/>
          </w:tcPr>
          <w:p w14:paraId="2176BF1F">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rPr>
            </w:pPr>
          </w:p>
        </w:tc>
        <w:tc>
          <w:tcPr>
            <w:tcW w:w="285" w:type="pct"/>
            <w:tcBorders>
              <w:tl2br w:val="nil"/>
              <w:tr2bl w:val="nil"/>
            </w:tcBorders>
            <w:shd w:val="clear" w:color="auto" w:fill="auto"/>
            <w:tcMar>
              <w:top w:w="12" w:type="dxa"/>
              <w:left w:w="12" w:type="dxa"/>
              <w:right w:w="12" w:type="dxa"/>
            </w:tcMar>
            <w:vAlign w:val="center"/>
          </w:tcPr>
          <w:p w14:paraId="6F8B4929">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理论</w:t>
            </w:r>
          </w:p>
          <w:p w14:paraId="5F2FDAF6">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讲授</w:t>
            </w:r>
          </w:p>
        </w:tc>
        <w:tc>
          <w:tcPr>
            <w:tcW w:w="301" w:type="pct"/>
            <w:tcBorders>
              <w:tl2br w:val="nil"/>
              <w:tr2bl w:val="nil"/>
            </w:tcBorders>
            <w:shd w:val="clear" w:color="auto" w:fill="auto"/>
            <w:tcMar>
              <w:top w:w="12" w:type="dxa"/>
              <w:left w:w="12" w:type="dxa"/>
              <w:right w:w="12" w:type="dxa"/>
            </w:tcMar>
            <w:vAlign w:val="center"/>
          </w:tcPr>
          <w:p w14:paraId="3A972AD8">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实验/</w:t>
            </w:r>
          </w:p>
          <w:p w14:paraId="6A95DD5C">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实践</w:t>
            </w:r>
          </w:p>
        </w:tc>
        <w:tc>
          <w:tcPr>
            <w:tcW w:w="295" w:type="pct"/>
            <w:vMerge w:val="continue"/>
            <w:tcBorders>
              <w:tl2br w:val="nil"/>
              <w:tr2bl w:val="nil"/>
            </w:tcBorders>
            <w:shd w:val="clear" w:color="auto" w:fill="auto"/>
            <w:tcMar>
              <w:top w:w="12" w:type="dxa"/>
              <w:left w:w="12" w:type="dxa"/>
              <w:right w:w="12" w:type="dxa"/>
            </w:tcMar>
            <w:vAlign w:val="center"/>
          </w:tcPr>
          <w:p w14:paraId="1C0DFA74">
            <w:pPr>
              <w:jc w:val="center"/>
              <w:rPr>
                <w:rFonts w:ascii="宋体" w:hAnsi="宋体" w:eastAsia="宋体" w:cs="宋体"/>
                <w:color w:val="000000"/>
                <w:sz w:val="18"/>
                <w:szCs w:val="18"/>
              </w:rPr>
            </w:pPr>
          </w:p>
        </w:tc>
        <w:tc>
          <w:tcPr>
            <w:tcW w:w="327" w:type="pct"/>
            <w:vMerge w:val="continue"/>
            <w:tcBorders>
              <w:tl2br w:val="nil"/>
              <w:tr2bl w:val="nil"/>
            </w:tcBorders>
            <w:shd w:val="clear" w:color="auto" w:fill="auto"/>
            <w:tcMar>
              <w:top w:w="12" w:type="dxa"/>
              <w:left w:w="12" w:type="dxa"/>
              <w:right w:w="12" w:type="dxa"/>
            </w:tcMar>
            <w:vAlign w:val="center"/>
          </w:tcPr>
          <w:p w14:paraId="0A16932D">
            <w:pPr>
              <w:jc w:val="center"/>
              <w:rPr>
                <w:rFonts w:ascii="宋体" w:hAnsi="宋体" w:eastAsia="宋体" w:cs="宋体"/>
                <w:color w:val="000000"/>
                <w:sz w:val="18"/>
                <w:szCs w:val="18"/>
              </w:rPr>
            </w:pPr>
          </w:p>
        </w:tc>
        <w:tc>
          <w:tcPr>
            <w:tcW w:w="811" w:type="pct"/>
            <w:vMerge w:val="continue"/>
            <w:tcBorders>
              <w:tl2br w:val="nil"/>
              <w:tr2bl w:val="nil"/>
            </w:tcBorders>
            <w:shd w:val="clear" w:color="auto" w:fill="auto"/>
            <w:tcMar>
              <w:top w:w="12" w:type="dxa"/>
              <w:left w:w="12" w:type="dxa"/>
              <w:right w:w="12" w:type="dxa"/>
            </w:tcMar>
            <w:vAlign w:val="center"/>
          </w:tcPr>
          <w:p w14:paraId="718F2B6C">
            <w:pPr>
              <w:jc w:val="center"/>
              <w:rPr>
                <w:rFonts w:ascii="宋体" w:hAnsi="宋体" w:eastAsia="宋体" w:cs="宋体"/>
                <w:color w:val="000000"/>
                <w:sz w:val="18"/>
                <w:szCs w:val="18"/>
              </w:rPr>
            </w:pPr>
          </w:p>
        </w:tc>
      </w:tr>
      <w:tr w14:paraId="150145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restart"/>
            <w:tcBorders>
              <w:tl2br w:val="nil"/>
              <w:tr2bl w:val="nil"/>
            </w:tcBorders>
            <w:shd w:val="clear" w:color="auto" w:fill="auto"/>
            <w:tcMar>
              <w:top w:w="12" w:type="dxa"/>
              <w:left w:w="12" w:type="dxa"/>
              <w:right w:w="12" w:type="dxa"/>
            </w:tcMar>
            <w:vAlign w:val="center"/>
          </w:tcPr>
          <w:p w14:paraId="49E7430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通识教育</w:t>
            </w:r>
          </w:p>
        </w:tc>
        <w:tc>
          <w:tcPr>
            <w:tcW w:w="274" w:type="pct"/>
            <w:vMerge w:val="restart"/>
            <w:tcBorders>
              <w:tl2br w:val="nil"/>
              <w:tr2bl w:val="nil"/>
            </w:tcBorders>
            <w:shd w:val="clear" w:color="auto" w:fill="auto"/>
            <w:tcMar>
              <w:top w:w="12" w:type="dxa"/>
              <w:left w:w="12" w:type="dxa"/>
              <w:right w:w="12" w:type="dxa"/>
            </w:tcMar>
            <w:vAlign w:val="center"/>
          </w:tcPr>
          <w:p w14:paraId="60EEA459">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通识</w:t>
            </w:r>
          </w:p>
          <w:p w14:paraId="7FE6365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p w14:paraId="773663D9">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课程</w:t>
            </w:r>
          </w:p>
        </w:tc>
        <w:tc>
          <w:tcPr>
            <w:tcW w:w="645" w:type="pct"/>
            <w:tcBorders>
              <w:tl2br w:val="nil"/>
              <w:tr2bl w:val="nil"/>
            </w:tcBorders>
            <w:shd w:val="clear" w:color="auto" w:fill="FFFFFF"/>
            <w:tcMar>
              <w:top w:w="12" w:type="dxa"/>
              <w:left w:w="12" w:type="dxa"/>
              <w:right w:w="12" w:type="dxa"/>
            </w:tcMar>
            <w:vAlign w:val="center"/>
          </w:tcPr>
          <w:p w14:paraId="349F65D9">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3321271002</w:t>
            </w:r>
          </w:p>
        </w:tc>
        <w:tc>
          <w:tcPr>
            <w:tcW w:w="1250" w:type="pct"/>
            <w:tcBorders>
              <w:tl2br w:val="nil"/>
              <w:tr2bl w:val="nil"/>
            </w:tcBorders>
            <w:shd w:val="clear" w:color="auto" w:fill="auto"/>
            <w:tcMar>
              <w:top w:w="12" w:type="dxa"/>
              <w:left w:w="12" w:type="dxa"/>
              <w:right w:w="12" w:type="dxa"/>
            </w:tcMar>
            <w:vAlign w:val="center"/>
          </w:tcPr>
          <w:p w14:paraId="73A863E9">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思想道德与法治</w:t>
            </w:r>
          </w:p>
          <w:p w14:paraId="470F2B53">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Ideology and Morality and Rule of Law</w:t>
            </w:r>
          </w:p>
        </w:tc>
        <w:tc>
          <w:tcPr>
            <w:tcW w:w="306" w:type="pct"/>
            <w:tcBorders>
              <w:tl2br w:val="nil"/>
              <w:tr2bl w:val="nil"/>
            </w:tcBorders>
            <w:shd w:val="clear" w:color="auto" w:fill="auto"/>
            <w:tcMar>
              <w:top w:w="12" w:type="dxa"/>
              <w:left w:w="12" w:type="dxa"/>
              <w:right w:w="12" w:type="dxa"/>
            </w:tcMar>
            <w:vAlign w:val="center"/>
          </w:tcPr>
          <w:p w14:paraId="5E473B82">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w:t>
            </w:r>
          </w:p>
        </w:tc>
        <w:tc>
          <w:tcPr>
            <w:tcW w:w="248" w:type="pct"/>
            <w:tcBorders>
              <w:tl2br w:val="nil"/>
              <w:tr2bl w:val="nil"/>
            </w:tcBorders>
            <w:shd w:val="clear" w:color="auto" w:fill="auto"/>
            <w:tcMar>
              <w:top w:w="12" w:type="dxa"/>
              <w:left w:w="12" w:type="dxa"/>
              <w:right w:w="12" w:type="dxa"/>
            </w:tcMar>
            <w:vAlign w:val="center"/>
          </w:tcPr>
          <w:p w14:paraId="174557CD">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themeColor="text1"/>
                <w:kern w:val="0"/>
                <w:sz w:val="17"/>
                <w:szCs w:val="17"/>
                <w14:textFill>
                  <w14:solidFill>
                    <w14:schemeClr w14:val="tx1"/>
                  </w14:solidFill>
                </w14:textFill>
              </w:rPr>
              <w:t>48</w:t>
            </w:r>
          </w:p>
        </w:tc>
        <w:tc>
          <w:tcPr>
            <w:tcW w:w="285" w:type="pct"/>
            <w:tcBorders>
              <w:tl2br w:val="nil"/>
              <w:tr2bl w:val="nil"/>
            </w:tcBorders>
            <w:shd w:val="clear" w:color="auto" w:fill="auto"/>
            <w:tcMar>
              <w:top w:w="12" w:type="dxa"/>
              <w:left w:w="12" w:type="dxa"/>
              <w:right w:w="12" w:type="dxa"/>
            </w:tcMar>
            <w:vAlign w:val="center"/>
          </w:tcPr>
          <w:p w14:paraId="753DB1AD">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themeColor="text1"/>
                <w:kern w:val="0"/>
                <w:sz w:val="17"/>
                <w:szCs w:val="17"/>
                <w14:textFill>
                  <w14:solidFill>
                    <w14:schemeClr w14:val="tx1"/>
                  </w14:solidFill>
                </w14:textFill>
              </w:rPr>
              <w:t>40</w:t>
            </w:r>
          </w:p>
        </w:tc>
        <w:tc>
          <w:tcPr>
            <w:tcW w:w="301" w:type="pct"/>
            <w:tcBorders>
              <w:tl2br w:val="nil"/>
              <w:tr2bl w:val="nil"/>
            </w:tcBorders>
            <w:shd w:val="clear" w:color="auto" w:fill="auto"/>
            <w:tcMar>
              <w:top w:w="12" w:type="dxa"/>
              <w:left w:w="12" w:type="dxa"/>
              <w:right w:w="12" w:type="dxa"/>
            </w:tcMar>
            <w:vAlign w:val="center"/>
          </w:tcPr>
          <w:p w14:paraId="1C29E03F">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8</w:t>
            </w:r>
          </w:p>
        </w:tc>
        <w:tc>
          <w:tcPr>
            <w:tcW w:w="295" w:type="pct"/>
            <w:tcBorders>
              <w:tl2br w:val="nil"/>
              <w:tr2bl w:val="nil"/>
            </w:tcBorders>
            <w:shd w:val="clear" w:color="auto" w:fill="auto"/>
            <w:tcMar>
              <w:top w:w="12" w:type="dxa"/>
              <w:left w:w="12" w:type="dxa"/>
              <w:right w:w="12" w:type="dxa"/>
            </w:tcMar>
            <w:vAlign w:val="center"/>
          </w:tcPr>
          <w:p w14:paraId="6B524C0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7F35144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5ED967C8">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43A17E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16D3D2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7B5DCE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72E52045">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3321271001</w:t>
            </w:r>
          </w:p>
        </w:tc>
        <w:tc>
          <w:tcPr>
            <w:tcW w:w="1250" w:type="pct"/>
            <w:tcBorders>
              <w:tl2br w:val="nil"/>
              <w:tr2bl w:val="nil"/>
            </w:tcBorders>
            <w:shd w:val="clear" w:color="auto" w:fill="auto"/>
            <w:tcMar>
              <w:top w:w="12" w:type="dxa"/>
              <w:left w:w="12" w:type="dxa"/>
              <w:right w:w="12" w:type="dxa"/>
            </w:tcMar>
            <w:vAlign w:val="center"/>
          </w:tcPr>
          <w:p w14:paraId="027C18CE">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毛泽东思想和中国特色社会主义理论体系概论</w:t>
            </w:r>
          </w:p>
          <w:p w14:paraId="1BD08B66">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Introduction to Mao</w:t>
            </w:r>
            <w:r>
              <w:rPr>
                <w:rFonts w:hint="default" w:ascii="Times New Roman" w:hAnsi="Times New Roman" w:eastAsia="宋体" w:cs="Times New Roman"/>
                <w:bCs/>
                <w:kern w:val="0"/>
                <w:sz w:val="17"/>
                <w:szCs w:val="17"/>
                <w:lang w:val="en-US" w:eastAsia="zh-CN" w:bidi="ar"/>
              </w:rPr>
              <w:t>’</w:t>
            </w:r>
            <w:r>
              <w:rPr>
                <w:rFonts w:hint="default" w:ascii="Times New Roman" w:hAnsi="Times New Roman" w:eastAsia="宋体" w:cs="Times New Roman"/>
                <w:bCs/>
                <w:kern w:val="0"/>
                <w:sz w:val="17"/>
                <w:szCs w:val="17"/>
                <w:lang w:bidi="ar"/>
              </w:rPr>
              <w:t>s Thoughts and Theoretical System of the Chinese Characteristics Socialism</w:t>
            </w:r>
          </w:p>
        </w:tc>
        <w:tc>
          <w:tcPr>
            <w:tcW w:w="306" w:type="pct"/>
            <w:tcBorders>
              <w:tl2br w:val="nil"/>
              <w:tr2bl w:val="nil"/>
            </w:tcBorders>
            <w:shd w:val="clear" w:color="auto" w:fill="auto"/>
            <w:tcMar>
              <w:top w:w="12" w:type="dxa"/>
              <w:left w:w="12" w:type="dxa"/>
              <w:right w:w="12" w:type="dxa"/>
            </w:tcMar>
            <w:vAlign w:val="center"/>
          </w:tcPr>
          <w:p w14:paraId="67564BEC">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65F388B9">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48</w:t>
            </w:r>
          </w:p>
        </w:tc>
        <w:tc>
          <w:tcPr>
            <w:tcW w:w="285" w:type="pct"/>
            <w:tcBorders>
              <w:tl2br w:val="nil"/>
              <w:tr2bl w:val="nil"/>
            </w:tcBorders>
            <w:shd w:val="clear" w:color="auto" w:fill="auto"/>
            <w:tcMar>
              <w:top w:w="12" w:type="dxa"/>
              <w:left w:w="12" w:type="dxa"/>
              <w:right w:w="12" w:type="dxa"/>
            </w:tcMar>
            <w:vAlign w:val="center"/>
          </w:tcPr>
          <w:p w14:paraId="14E11A47">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301" w:type="pct"/>
            <w:tcBorders>
              <w:tl2br w:val="nil"/>
              <w:tr2bl w:val="nil"/>
            </w:tcBorders>
            <w:shd w:val="clear" w:color="auto" w:fill="auto"/>
            <w:tcMar>
              <w:top w:w="12" w:type="dxa"/>
              <w:left w:w="12" w:type="dxa"/>
              <w:right w:w="12" w:type="dxa"/>
            </w:tcMar>
            <w:vAlign w:val="center"/>
          </w:tcPr>
          <w:p w14:paraId="1DCE9EC2">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8</w:t>
            </w:r>
          </w:p>
        </w:tc>
        <w:tc>
          <w:tcPr>
            <w:tcW w:w="295" w:type="pct"/>
            <w:tcBorders>
              <w:tl2br w:val="nil"/>
              <w:tr2bl w:val="nil"/>
            </w:tcBorders>
            <w:shd w:val="clear" w:color="auto" w:fill="auto"/>
            <w:tcMar>
              <w:top w:w="12" w:type="dxa"/>
              <w:left w:w="12" w:type="dxa"/>
              <w:right w:w="12" w:type="dxa"/>
            </w:tcMar>
            <w:vAlign w:val="center"/>
          </w:tcPr>
          <w:p w14:paraId="3892008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42D2E9A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54D96914">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429755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09787C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A22CCB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75D5F150">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3321271003</w:t>
            </w:r>
          </w:p>
        </w:tc>
        <w:tc>
          <w:tcPr>
            <w:tcW w:w="1250" w:type="pct"/>
            <w:tcBorders>
              <w:tl2br w:val="nil"/>
              <w:tr2bl w:val="nil"/>
            </w:tcBorders>
            <w:shd w:val="clear" w:color="auto" w:fill="auto"/>
            <w:tcMar>
              <w:top w:w="12" w:type="dxa"/>
              <w:left w:w="12" w:type="dxa"/>
              <w:right w:w="12" w:type="dxa"/>
            </w:tcMar>
            <w:vAlign w:val="center"/>
          </w:tcPr>
          <w:p w14:paraId="2CF25DF1">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习近平新时代中国特色社会主义思想概论</w:t>
            </w:r>
          </w:p>
          <w:p w14:paraId="71D31FC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Introduction of the Xi Jinping Thought on Socialism with Chinese Characteristic for a New Era</w:t>
            </w:r>
          </w:p>
        </w:tc>
        <w:tc>
          <w:tcPr>
            <w:tcW w:w="306" w:type="pct"/>
            <w:tcBorders>
              <w:tl2br w:val="nil"/>
              <w:tr2bl w:val="nil"/>
            </w:tcBorders>
            <w:shd w:val="clear" w:color="auto" w:fill="auto"/>
            <w:tcMar>
              <w:top w:w="12" w:type="dxa"/>
              <w:left w:w="12" w:type="dxa"/>
              <w:right w:w="12" w:type="dxa"/>
            </w:tcMar>
            <w:vAlign w:val="center"/>
          </w:tcPr>
          <w:p w14:paraId="0F166A75">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w:t>
            </w:r>
          </w:p>
        </w:tc>
        <w:tc>
          <w:tcPr>
            <w:tcW w:w="248" w:type="pct"/>
            <w:tcBorders>
              <w:tl2br w:val="nil"/>
              <w:tr2bl w:val="nil"/>
            </w:tcBorders>
            <w:shd w:val="clear" w:color="auto" w:fill="auto"/>
            <w:tcMar>
              <w:top w:w="12" w:type="dxa"/>
              <w:left w:w="12" w:type="dxa"/>
              <w:right w:w="12" w:type="dxa"/>
            </w:tcMar>
            <w:vAlign w:val="center"/>
          </w:tcPr>
          <w:p w14:paraId="0C40B539">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48</w:t>
            </w:r>
          </w:p>
        </w:tc>
        <w:tc>
          <w:tcPr>
            <w:tcW w:w="285" w:type="pct"/>
            <w:tcBorders>
              <w:tl2br w:val="nil"/>
              <w:tr2bl w:val="nil"/>
            </w:tcBorders>
            <w:shd w:val="clear" w:color="auto" w:fill="auto"/>
            <w:tcMar>
              <w:top w:w="12" w:type="dxa"/>
              <w:left w:w="12" w:type="dxa"/>
              <w:right w:w="12" w:type="dxa"/>
            </w:tcMar>
            <w:vAlign w:val="center"/>
          </w:tcPr>
          <w:p w14:paraId="20A74537">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301" w:type="pct"/>
            <w:tcBorders>
              <w:tl2br w:val="nil"/>
              <w:tr2bl w:val="nil"/>
            </w:tcBorders>
            <w:shd w:val="clear" w:color="auto" w:fill="auto"/>
            <w:tcMar>
              <w:top w:w="12" w:type="dxa"/>
              <w:left w:w="12" w:type="dxa"/>
              <w:right w:w="12" w:type="dxa"/>
            </w:tcMar>
            <w:vAlign w:val="center"/>
          </w:tcPr>
          <w:p w14:paraId="37FCEA8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8</w:t>
            </w:r>
          </w:p>
        </w:tc>
        <w:tc>
          <w:tcPr>
            <w:tcW w:w="295" w:type="pct"/>
            <w:tcBorders>
              <w:tl2br w:val="nil"/>
              <w:tr2bl w:val="nil"/>
            </w:tcBorders>
            <w:shd w:val="clear" w:color="auto" w:fill="auto"/>
            <w:tcMar>
              <w:top w:w="12" w:type="dxa"/>
              <w:left w:w="12" w:type="dxa"/>
              <w:right w:w="12" w:type="dxa"/>
            </w:tcMar>
            <w:vAlign w:val="center"/>
          </w:tcPr>
          <w:p w14:paraId="1280012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057EB48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2BEF3D02">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22FAB7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FFF00A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8218F2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1B30ACED">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3321171001</w:t>
            </w:r>
          </w:p>
        </w:tc>
        <w:tc>
          <w:tcPr>
            <w:tcW w:w="1250" w:type="pct"/>
            <w:tcBorders>
              <w:tl2br w:val="nil"/>
              <w:tr2bl w:val="nil"/>
            </w:tcBorders>
            <w:shd w:val="clear" w:color="auto" w:fill="auto"/>
            <w:tcMar>
              <w:top w:w="12" w:type="dxa"/>
              <w:left w:w="12" w:type="dxa"/>
              <w:right w:w="12" w:type="dxa"/>
            </w:tcMar>
            <w:vAlign w:val="center"/>
          </w:tcPr>
          <w:p w14:paraId="792749DD">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形势与政策</w:t>
            </w:r>
          </w:p>
          <w:p w14:paraId="5E5C963B">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Policy and Political Situation Analysis</w:t>
            </w:r>
          </w:p>
        </w:tc>
        <w:tc>
          <w:tcPr>
            <w:tcW w:w="306" w:type="pct"/>
            <w:tcBorders>
              <w:tl2br w:val="nil"/>
              <w:tr2bl w:val="nil"/>
            </w:tcBorders>
            <w:shd w:val="clear" w:color="auto" w:fill="auto"/>
            <w:tcMar>
              <w:top w:w="12" w:type="dxa"/>
              <w:left w:w="12" w:type="dxa"/>
              <w:right w:w="12" w:type="dxa"/>
            </w:tcMar>
            <w:vAlign w:val="center"/>
          </w:tcPr>
          <w:p w14:paraId="3D5A9235">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1</w:t>
            </w:r>
          </w:p>
        </w:tc>
        <w:tc>
          <w:tcPr>
            <w:tcW w:w="248" w:type="pct"/>
            <w:tcBorders>
              <w:tl2br w:val="nil"/>
              <w:tr2bl w:val="nil"/>
            </w:tcBorders>
            <w:shd w:val="clear" w:color="auto" w:fill="auto"/>
            <w:tcMar>
              <w:top w:w="12" w:type="dxa"/>
              <w:left w:w="12" w:type="dxa"/>
              <w:right w:w="12" w:type="dxa"/>
            </w:tcMar>
            <w:vAlign w:val="center"/>
          </w:tcPr>
          <w:p w14:paraId="03FCC118">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48</w:t>
            </w:r>
          </w:p>
        </w:tc>
        <w:tc>
          <w:tcPr>
            <w:tcW w:w="285" w:type="pct"/>
            <w:tcBorders>
              <w:tl2br w:val="nil"/>
              <w:tr2bl w:val="nil"/>
            </w:tcBorders>
            <w:shd w:val="clear" w:color="auto" w:fill="auto"/>
            <w:tcMar>
              <w:top w:w="12" w:type="dxa"/>
              <w:left w:w="12" w:type="dxa"/>
              <w:right w:w="12" w:type="dxa"/>
            </w:tcMar>
            <w:vAlign w:val="center"/>
          </w:tcPr>
          <w:p w14:paraId="0F434B46">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themeColor="text1"/>
                <w:kern w:val="0"/>
                <w:sz w:val="17"/>
                <w:szCs w:val="17"/>
                <w14:textFill>
                  <w14:solidFill>
                    <w14:schemeClr w14:val="tx1"/>
                  </w14:solidFill>
                </w14:textFill>
              </w:rPr>
              <w:t>48</w:t>
            </w:r>
          </w:p>
        </w:tc>
        <w:tc>
          <w:tcPr>
            <w:tcW w:w="301" w:type="pct"/>
            <w:tcBorders>
              <w:tl2br w:val="nil"/>
              <w:tr2bl w:val="nil"/>
            </w:tcBorders>
            <w:shd w:val="clear" w:color="auto" w:fill="auto"/>
            <w:tcMar>
              <w:top w:w="12" w:type="dxa"/>
              <w:left w:w="12" w:type="dxa"/>
              <w:right w:w="12" w:type="dxa"/>
            </w:tcMar>
            <w:vAlign w:val="center"/>
          </w:tcPr>
          <w:p w14:paraId="49793C46">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48960AD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60F4A1E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1-6</w:t>
            </w:r>
          </w:p>
        </w:tc>
        <w:tc>
          <w:tcPr>
            <w:tcW w:w="811" w:type="pct"/>
            <w:tcBorders>
              <w:tl2br w:val="nil"/>
              <w:tr2bl w:val="nil"/>
            </w:tcBorders>
            <w:shd w:val="clear" w:color="auto" w:fill="auto"/>
            <w:tcMar>
              <w:top w:w="12" w:type="dxa"/>
              <w:left w:w="12" w:type="dxa"/>
              <w:right w:w="12" w:type="dxa"/>
            </w:tcMar>
            <w:vAlign w:val="center"/>
          </w:tcPr>
          <w:p w14:paraId="799AFF93">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037355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1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386E48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2F0626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44E9F50E">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5321283001</w:t>
            </w:r>
          </w:p>
        </w:tc>
        <w:tc>
          <w:tcPr>
            <w:tcW w:w="1250" w:type="pct"/>
            <w:tcBorders>
              <w:tl2br w:val="nil"/>
              <w:tr2bl w:val="nil"/>
            </w:tcBorders>
            <w:shd w:val="clear" w:color="auto" w:fill="auto"/>
            <w:tcMar>
              <w:top w:w="12" w:type="dxa"/>
              <w:left w:w="12" w:type="dxa"/>
              <w:right w:w="12" w:type="dxa"/>
            </w:tcMar>
            <w:vAlign w:val="center"/>
          </w:tcPr>
          <w:p w14:paraId="23E0BD50">
            <w:pPr>
              <w:adjustRightInd w:val="0"/>
              <w:spacing w:line="200" w:lineRule="exact"/>
              <w:jc w:val="left"/>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军事技能</w:t>
            </w:r>
          </w:p>
          <w:p w14:paraId="6BFE5376">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Military Training</w:t>
            </w:r>
          </w:p>
        </w:tc>
        <w:tc>
          <w:tcPr>
            <w:tcW w:w="306" w:type="pct"/>
            <w:tcBorders>
              <w:tl2br w:val="nil"/>
              <w:tr2bl w:val="nil"/>
            </w:tcBorders>
            <w:shd w:val="clear" w:color="auto" w:fill="auto"/>
            <w:tcMar>
              <w:top w:w="12" w:type="dxa"/>
              <w:left w:w="12" w:type="dxa"/>
              <w:right w:w="12" w:type="dxa"/>
            </w:tcMar>
            <w:vAlign w:val="center"/>
          </w:tcPr>
          <w:p w14:paraId="37012D6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12FEF4FF">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90</w:t>
            </w:r>
          </w:p>
        </w:tc>
        <w:tc>
          <w:tcPr>
            <w:tcW w:w="285" w:type="pct"/>
            <w:tcBorders>
              <w:tl2br w:val="nil"/>
              <w:tr2bl w:val="nil"/>
            </w:tcBorders>
            <w:shd w:val="clear" w:color="auto" w:fill="auto"/>
            <w:tcMar>
              <w:top w:w="12" w:type="dxa"/>
              <w:left w:w="12" w:type="dxa"/>
              <w:right w:w="12" w:type="dxa"/>
            </w:tcMar>
            <w:vAlign w:val="center"/>
          </w:tcPr>
          <w:p w14:paraId="1ED9CC91">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301" w:type="pct"/>
            <w:tcBorders>
              <w:tl2br w:val="nil"/>
              <w:tr2bl w:val="nil"/>
            </w:tcBorders>
            <w:shd w:val="clear" w:color="auto" w:fill="auto"/>
            <w:noWrap/>
            <w:tcMar>
              <w:top w:w="12" w:type="dxa"/>
              <w:left w:w="12" w:type="dxa"/>
              <w:right w:w="12" w:type="dxa"/>
            </w:tcMar>
            <w:vAlign w:val="center"/>
          </w:tcPr>
          <w:p w14:paraId="1D0D868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lang w:val="en-US" w:eastAsia="zh-CN"/>
              </w:rPr>
              <w:t>90</w:t>
            </w:r>
          </w:p>
        </w:tc>
        <w:tc>
          <w:tcPr>
            <w:tcW w:w="295" w:type="pct"/>
            <w:tcBorders>
              <w:tl2br w:val="nil"/>
              <w:tr2bl w:val="nil"/>
            </w:tcBorders>
            <w:shd w:val="clear" w:color="auto" w:fill="auto"/>
            <w:tcMar>
              <w:top w:w="12" w:type="dxa"/>
              <w:left w:w="12" w:type="dxa"/>
              <w:right w:w="12" w:type="dxa"/>
            </w:tcMar>
            <w:vAlign w:val="center"/>
          </w:tcPr>
          <w:p w14:paraId="415F2FB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062E729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2A2A3742">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57317E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4661EF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A96285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212E590B">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3221183001</w:t>
            </w:r>
          </w:p>
        </w:tc>
        <w:tc>
          <w:tcPr>
            <w:tcW w:w="1250" w:type="pct"/>
            <w:tcBorders>
              <w:tl2br w:val="nil"/>
              <w:tr2bl w:val="nil"/>
            </w:tcBorders>
            <w:shd w:val="clear" w:color="auto" w:fill="auto"/>
            <w:tcMar>
              <w:top w:w="12" w:type="dxa"/>
              <w:left w:w="12" w:type="dxa"/>
              <w:right w:w="12" w:type="dxa"/>
            </w:tcMar>
            <w:vAlign w:val="center"/>
          </w:tcPr>
          <w:p w14:paraId="51346B46">
            <w:pPr>
              <w:adjustRightInd w:val="0"/>
              <w:spacing w:line="200" w:lineRule="exact"/>
              <w:jc w:val="left"/>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军事理论</w:t>
            </w:r>
          </w:p>
          <w:p w14:paraId="76C16B02">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Military Course</w:t>
            </w:r>
          </w:p>
        </w:tc>
        <w:tc>
          <w:tcPr>
            <w:tcW w:w="306" w:type="pct"/>
            <w:tcBorders>
              <w:tl2br w:val="nil"/>
              <w:tr2bl w:val="nil"/>
            </w:tcBorders>
            <w:shd w:val="clear" w:color="auto" w:fill="auto"/>
            <w:tcMar>
              <w:top w:w="12" w:type="dxa"/>
              <w:left w:w="12" w:type="dxa"/>
              <w:right w:w="12" w:type="dxa"/>
            </w:tcMar>
            <w:vAlign w:val="center"/>
          </w:tcPr>
          <w:p w14:paraId="012921E1">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2</w:t>
            </w:r>
          </w:p>
        </w:tc>
        <w:tc>
          <w:tcPr>
            <w:tcW w:w="248" w:type="pct"/>
            <w:tcBorders>
              <w:tl2br w:val="nil"/>
              <w:tr2bl w:val="nil"/>
            </w:tcBorders>
            <w:shd w:val="clear" w:color="auto" w:fill="auto"/>
            <w:tcMar>
              <w:top w:w="12" w:type="dxa"/>
              <w:left w:w="12" w:type="dxa"/>
              <w:right w:w="12" w:type="dxa"/>
            </w:tcMar>
            <w:vAlign w:val="center"/>
          </w:tcPr>
          <w:p w14:paraId="28C99FAF">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36</w:t>
            </w:r>
          </w:p>
        </w:tc>
        <w:tc>
          <w:tcPr>
            <w:tcW w:w="285" w:type="pct"/>
            <w:tcBorders>
              <w:tl2br w:val="nil"/>
              <w:tr2bl w:val="nil"/>
            </w:tcBorders>
            <w:shd w:val="clear" w:color="auto" w:fill="auto"/>
            <w:tcMar>
              <w:top w:w="12" w:type="dxa"/>
              <w:left w:w="12" w:type="dxa"/>
              <w:right w:w="12" w:type="dxa"/>
            </w:tcMar>
            <w:vAlign w:val="center"/>
          </w:tcPr>
          <w:p w14:paraId="12D57E1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36</w:t>
            </w:r>
          </w:p>
        </w:tc>
        <w:tc>
          <w:tcPr>
            <w:tcW w:w="301" w:type="pct"/>
            <w:tcBorders>
              <w:tl2br w:val="nil"/>
              <w:tr2bl w:val="nil"/>
            </w:tcBorders>
            <w:shd w:val="clear" w:color="auto" w:fill="auto"/>
            <w:tcMar>
              <w:top w:w="12" w:type="dxa"/>
              <w:left w:w="12" w:type="dxa"/>
              <w:right w:w="12" w:type="dxa"/>
            </w:tcMar>
            <w:vAlign w:val="center"/>
          </w:tcPr>
          <w:p w14:paraId="6D37A5BD">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044BE4C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0415980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color w:val="000000"/>
                <w:kern w:val="0"/>
                <w:sz w:val="18"/>
                <w:szCs w:val="18"/>
                <w:lang w:bidi="ar"/>
              </w:rPr>
              <w:t>1</w:t>
            </w:r>
          </w:p>
        </w:tc>
        <w:tc>
          <w:tcPr>
            <w:tcW w:w="811" w:type="pct"/>
            <w:tcBorders>
              <w:tl2br w:val="nil"/>
              <w:tr2bl w:val="nil"/>
            </w:tcBorders>
            <w:shd w:val="clear" w:color="auto" w:fill="auto"/>
            <w:tcMar>
              <w:top w:w="12" w:type="dxa"/>
              <w:left w:w="12" w:type="dxa"/>
              <w:right w:w="12" w:type="dxa"/>
            </w:tcMar>
            <w:vAlign w:val="center"/>
          </w:tcPr>
          <w:p w14:paraId="1A3C93F3">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27B341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516EE6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7C3048D">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2D6D0E06">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3221174001</w:t>
            </w:r>
          </w:p>
        </w:tc>
        <w:tc>
          <w:tcPr>
            <w:tcW w:w="1250" w:type="pct"/>
            <w:tcBorders>
              <w:tl2br w:val="nil"/>
              <w:tr2bl w:val="nil"/>
            </w:tcBorders>
            <w:shd w:val="clear" w:color="auto" w:fill="auto"/>
            <w:tcMar>
              <w:top w:w="12" w:type="dxa"/>
              <w:left w:w="12" w:type="dxa"/>
              <w:right w:w="12" w:type="dxa"/>
            </w:tcMar>
            <w:vAlign w:val="center"/>
          </w:tcPr>
          <w:p w14:paraId="643F81F4">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大学英语（一）</w:t>
            </w:r>
          </w:p>
          <w:p w14:paraId="50BEE127">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College English</w:t>
            </w:r>
            <w:r>
              <w:rPr>
                <w:rFonts w:hint="eastAsia" w:ascii="Times New Roman" w:hAnsi="Times New Roman" w:eastAsia="宋体" w:cs="Times New Roman"/>
                <w:bCs/>
                <w:kern w:val="0"/>
                <w:sz w:val="17"/>
                <w:szCs w:val="17"/>
                <w:lang w:val="en-US" w:eastAsia="zh-CN" w:bidi="ar"/>
              </w:rPr>
              <w:t xml:space="preserve"> (I)</w:t>
            </w:r>
          </w:p>
        </w:tc>
        <w:tc>
          <w:tcPr>
            <w:tcW w:w="306" w:type="pct"/>
            <w:tcBorders>
              <w:tl2br w:val="nil"/>
              <w:tr2bl w:val="nil"/>
            </w:tcBorders>
            <w:shd w:val="clear" w:color="auto" w:fill="auto"/>
            <w:tcMar>
              <w:top w:w="12" w:type="dxa"/>
              <w:left w:w="12" w:type="dxa"/>
              <w:right w:w="12" w:type="dxa"/>
            </w:tcMar>
            <w:vAlign w:val="center"/>
          </w:tcPr>
          <w:p w14:paraId="4B92B3D3">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4</w:t>
            </w:r>
          </w:p>
        </w:tc>
        <w:tc>
          <w:tcPr>
            <w:tcW w:w="248" w:type="pct"/>
            <w:tcBorders>
              <w:tl2br w:val="nil"/>
              <w:tr2bl w:val="nil"/>
            </w:tcBorders>
            <w:shd w:val="clear" w:color="auto" w:fill="auto"/>
            <w:tcMar>
              <w:top w:w="12" w:type="dxa"/>
              <w:left w:w="12" w:type="dxa"/>
              <w:right w:w="12" w:type="dxa"/>
            </w:tcMar>
            <w:vAlign w:val="center"/>
          </w:tcPr>
          <w:p w14:paraId="5A18D3BC">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64</w:t>
            </w:r>
          </w:p>
        </w:tc>
        <w:tc>
          <w:tcPr>
            <w:tcW w:w="285" w:type="pct"/>
            <w:tcBorders>
              <w:tl2br w:val="nil"/>
              <w:tr2bl w:val="nil"/>
            </w:tcBorders>
            <w:shd w:val="clear" w:color="auto" w:fill="auto"/>
            <w:tcMar>
              <w:top w:w="12" w:type="dxa"/>
              <w:left w:w="12" w:type="dxa"/>
              <w:right w:w="12" w:type="dxa"/>
            </w:tcMar>
            <w:vAlign w:val="center"/>
          </w:tcPr>
          <w:p w14:paraId="3812BF84">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64</w:t>
            </w:r>
          </w:p>
        </w:tc>
        <w:tc>
          <w:tcPr>
            <w:tcW w:w="301" w:type="pct"/>
            <w:tcBorders>
              <w:tl2br w:val="nil"/>
              <w:tr2bl w:val="nil"/>
            </w:tcBorders>
            <w:shd w:val="clear" w:color="auto" w:fill="auto"/>
            <w:tcMar>
              <w:top w:w="12" w:type="dxa"/>
              <w:left w:w="12" w:type="dxa"/>
              <w:right w:w="12" w:type="dxa"/>
            </w:tcMar>
            <w:vAlign w:val="center"/>
          </w:tcPr>
          <w:p w14:paraId="08B3B3F2">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59D4925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16A1F1A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6DF6ECD0">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6112E4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9FAA42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1E45F9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56C33DFD">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3221174002</w:t>
            </w:r>
          </w:p>
        </w:tc>
        <w:tc>
          <w:tcPr>
            <w:tcW w:w="1250" w:type="pct"/>
            <w:tcBorders>
              <w:tl2br w:val="nil"/>
              <w:tr2bl w:val="nil"/>
            </w:tcBorders>
            <w:shd w:val="clear" w:color="auto" w:fill="auto"/>
            <w:tcMar>
              <w:top w:w="12" w:type="dxa"/>
              <w:left w:w="12" w:type="dxa"/>
              <w:right w:w="12" w:type="dxa"/>
            </w:tcMar>
            <w:vAlign w:val="center"/>
          </w:tcPr>
          <w:p w14:paraId="33699A6D">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大学英语（二）</w:t>
            </w:r>
          </w:p>
          <w:p w14:paraId="6EEC3183">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College English</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(II)</w:t>
            </w:r>
          </w:p>
        </w:tc>
        <w:tc>
          <w:tcPr>
            <w:tcW w:w="306" w:type="pct"/>
            <w:tcBorders>
              <w:tl2br w:val="nil"/>
              <w:tr2bl w:val="nil"/>
            </w:tcBorders>
            <w:shd w:val="clear" w:color="auto" w:fill="auto"/>
            <w:tcMar>
              <w:top w:w="12" w:type="dxa"/>
              <w:left w:w="12" w:type="dxa"/>
              <w:right w:w="12" w:type="dxa"/>
            </w:tcMar>
            <w:vAlign w:val="center"/>
          </w:tcPr>
          <w:p w14:paraId="20C6B88D">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4</w:t>
            </w:r>
          </w:p>
        </w:tc>
        <w:tc>
          <w:tcPr>
            <w:tcW w:w="248" w:type="pct"/>
            <w:tcBorders>
              <w:tl2br w:val="nil"/>
              <w:tr2bl w:val="nil"/>
            </w:tcBorders>
            <w:shd w:val="clear" w:color="auto" w:fill="auto"/>
            <w:tcMar>
              <w:top w:w="12" w:type="dxa"/>
              <w:left w:w="12" w:type="dxa"/>
              <w:right w:w="12" w:type="dxa"/>
            </w:tcMar>
            <w:vAlign w:val="center"/>
          </w:tcPr>
          <w:p w14:paraId="0DCF2102">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64</w:t>
            </w:r>
          </w:p>
        </w:tc>
        <w:tc>
          <w:tcPr>
            <w:tcW w:w="285" w:type="pct"/>
            <w:tcBorders>
              <w:tl2br w:val="nil"/>
              <w:tr2bl w:val="nil"/>
            </w:tcBorders>
            <w:shd w:val="clear" w:color="auto" w:fill="auto"/>
            <w:tcMar>
              <w:top w:w="12" w:type="dxa"/>
              <w:left w:w="12" w:type="dxa"/>
              <w:right w:w="12" w:type="dxa"/>
            </w:tcMar>
            <w:vAlign w:val="center"/>
          </w:tcPr>
          <w:p w14:paraId="3F3D12D6">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rPr>
              <w:t>64</w:t>
            </w:r>
          </w:p>
        </w:tc>
        <w:tc>
          <w:tcPr>
            <w:tcW w:w="301" w:type="pct"/>
            <w:tcBorders>
              <w:tl2br w:val="nil"/>
              <w:tr2bl w:val="nil"/>
            </w:tcBorders>
            <w:shd w:val="clear" w:color="auto" w:fill="auto"/>
            <w:tcMar>
              <w:top w:w="12" w:type="dxa"/>
              <w:left w:w="12" w:type="dxa"/>
              <w:right w:w="12" w:type="dxa"/>
            </w:tcMar>
            <w:vAlign w:val="center"/>
          </w:tcPr>
          <w:p w14:paraId="5F7C60DF">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7696E0A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2B060B5D">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5CBB7A24">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0D639F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4C6C69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5B7A86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67B3F4E0">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3221175001</w:t>
            </w:r>
          </w:p>
        </w:tc>
        <w:tc>
          <w:tcPr>
            <w:tcW w:w="1250" w:type="pct"/>
            <w:tcBorders>
              <w:tl2br w:val="nil"/>
              <w:tr2bl w:val="nil"/>
            </w:tcBorders>
            <w:shd w:val="clear" w:color="auto" w:fill="auto"/>
            <w:tcMar>
              <w:top w:w="12" w:type="dxa"/>
              <w:left w:w="12" w:type="dxa"/>
              <w:right w:w="12" w:type="dxa"/>
            </w:tcMar>
            <w:vAlign w:val="center"/>
          </w:tcPr>
          <w:p w14:paraId="27690E3C">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大学语文</w:t>
            </w:r>
          </w:p>
          <w:p w14:paraId="127A0A1E">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College Chinese</w:t>
            </w:r>
          </w:p>
        </w:tc>
        <w:tc>
          <w:tcPr>
            <w:tcW w:w="306" w:type="pct"/>
            <w:tcBorders>
              <w:tl2br w:val="nil"/>
              <w:tr2bl w:val="nil"/>
            </w:tcBorders>
            <w:shd w:val="clear" w:color="auto" w:fill="auto"/>
            <w:tcMar>
              <w:top w:w="12" w:type="dxa"/>
              <w:left w:w="12" w:type="dxa"/>
              <w:right w:w="12" w:type="dxa"/>
            </w:tcMar>
            <w:vAlign w:val="center"/>
          </w:tcPr>
          <w:p w14:paraId="4402537F">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2</w:t>
            </w:r>
          </w:p>
        </w:tc>
        <w:tc>
          <w:tcPr>
            <w:tcW w:w="248" w:type="pct"/>
            <w:tcBorders>
              <w:tl2br w:val="nil"/>
              <w:tr2bl w:val="nil"/>
            </w:tcBorders>
            <w:shd w:val="clear" w:color="auto" w:fill="auto"/>
            <w:tcMar>
              <w:top w:w="12" w:type="dxa"/>
              <w:left w:w="12" w:type="dxa"/>
              <w:right w:w="12" w:type="dxa"/>
            </w:tcMar>
            <w:vAlign w:val="center"/>
          </w:tcPr>
          <w:p w14:paraId="6DD88593">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32</w:t>
            </w:r>
          </w:p>
        </w:tc>
        <w:tc>
          <w:tcPr>
            <w:tcW w:w="285" w:type="pct"/>
            <w:tcBorders>
              <w:tl2br w:val="nil"/>
              <w:tr2bl w:val="nil"/>
            </w:tcBorders>
            <w:shd w:val="clear" w:color="auto" w:fill="auto"/>
            <w:tcMar>
              <w:top w:w="12" w:type="dxa"/>
              <w:left w:w="12" w:type="dxa"/>
              <w:right w:w="12" w:type="dxa"/>
            </w:tcMar>
            <w:vAlign w:val="center"/>
          </w:tcPr>
          <w:p w14:paraId="78359D55">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32</w:t>
            </w:r>
          </w:p>
        </w:tc>
        <w:tc>
          <w:tcPr>
            <w:tcW w:w="301" w:type="pct"/>
            <w:tcBorders>
              <w:tl2br w:val="nil"/>
              <w:tr2bl w:val="nil"/>
            </w:tcBorders>
            <w:shd w:val="clear" w:color="auto" w:fill="auto"/>
            <w:tcMar>
              <w:top w:w="12" w:type="dxa"/>
              <w:left w:w="12" w:type="dxa"/>
              <w:right w:w="12" w:type="dxa"/>
            </w:tcMar>
            <w:vAlign w:val="center"/>
          </w:tcPr>
          <w:p w14:paraId="7EEAD79F">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14109FA9">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175521E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color w:val="000000"/>
                <w:kern w:val="0"/>
                <w:sz w:val="18"/>
                <w:szCs w:val="18"/>
                <w:lang w:bidi="ar"/>
              </w:rPr>
              <w:t>1</w:t>
            </w:r>
          </w:p>
        </w:tc>
        <w:tc>
          <w:tcPr>
            <w:tcW w:w="811" w:type="pct"/>
            <w:tcBorders>
              <w:tl2br w:val="nil"/>
              <w:tr2bl w:val="nil"/>
            </w:tcBorders>
            <w:shd w:val="clear" w:color="auto" w:fill="auto"/>
            <w:tcMar>
              <w:top w:w="12" w:type="dxa"/>
              <w:left w:w="12" w:type="dxa"/>
              <w:right w:w="12" w:type="dxa"/>
            </w:tcMar>
            <w:vAlign w:val="center"/>
          </w:tcPr>
          <w:p w14:paraId="5AFDA23F">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151E73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1BB87E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904470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77DAC88A">
            <w:pPr>
              <w:adjustRightInd w:val="0"/>
              <w:snapToGrid w:val="0"/>
              <w:jc w:val="center"/>
              <w:rPr>
                <w:rFonts w:hint="eastAsia" w:ascii="Times New Roman" w:hAnsi="Times New Roman" w:cs="宋体"/>
                <w:bCs/>
                <w:sz w:val="17"/>
                <w:szCs w:val="17"/>
              </w:rPr>
            </w:pPr>
            <w:r>
              <w:rPr>
                <w:rFonts w:hint="eastAsia" w:ascii="Times New Roman" w:hAnsi="Times New Roman" w:cs="宋体"/>
                <w:bCs/>
                <w:sz w:val="17"/>
                <w:szCs w:val="17"/>
                <w:lang w:val="en-US" w:eastAsia="zh-CN"/>
              </w:rPr>
              <w:t>3221111002</w:t>
            </w:r>
          </w:p>
        </w:tc>
        <w:tc>
          <w:tcPr>
            <w:tcW w:w="1250" w:type="pct"/>
            <w:tcBorders>
              <w:tl2br w:val="nil"/>
              <w:tr2bl w:val="nil"/>
            </w:tcBorders>
            <w:shd w:val="clear" w:color="auto" w:fill="auto"/>
            <w:tcMar>
              <w:top w:w="12" w:type="dxa"/>
              <w:left w:w="12" w:type="dxa"/>
              <w:right w:w="12" w:type="dxa"/>
            </w:tcMar>
            <w:vAlign w:val="center"/>
          </w:tcPr>
          <w:p w14:paraId="284430C6">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高等数学A(一)</w:t>
            </w:r>
          </w:p>
          <w:p w14:paraId="46BC1591">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Advanced Mathematics A (I)</w:t>
            </w:r>
          </w:p>
        </w:tc>
        <w:tc>
          <w:tcPr>
            <w:tcW w:w="306" w:type="pct"/>
            <w:tcBorders>
              <w:tl2br w:val="nil"/>
              <w:tr2bl w:val="nil"/>
            </w:tcBorders>
            <w:shd w:val="clear" w:color="auto" w:fill="auto"/>
            <w:tcMar>
              <w:top w:w="12" w:type="dxa"/>
              <w:left w:w="12" w:type="dxa"/>
              <w:right w:w="12" w:type="dxa"/>
            </w:tcMar>
            <w:vAlign w:val="center"/>
          </w:tcPr>
          <w:p w14:paraId="600D0856">
            <w:pPr>
              <w:adjustRightInd w:val="0"/>
              <w:snapToGrid w:val="0"/>
              <w:jc w:val="center"/>
              <w:rPr>
                <w:rFonts w:hint="eastAsia" w:ascii="Times New Roman" w:hAnsi="Times New Roman" w:cs="宋体" w:eastAsiaTheme="minorEastAsia"/>
                <w:bCs/>
                <w:kern w:val="0"/>
                <w:sz w:val="17"/>
                <w:szCs w:val="17"/>
                <w:highlight w:val="none"/>
                <w:lang w:val="en-US" w:eastAsia="zh-CN"/>
              </w:rPr>
            </w:pPr>
            <w:r>
              <w:rPr>
                <w:rFonts w:hint="eastAsia" w:ascii="Times New Roman" w:hAnsi="Times New Roman" w:cs="宋体"/>
                <w:bCs/>
                <w:kern w:val="0"/>
                <w:sz w:val="17"/>
                <w:szCs w:val="17"/>
                <w:highlight w:val="none"/>
                <w:lang w:val="en-US" w:eastAsia="zh-CN"/>
              </w:rPr>
              <w:t>4</w:t>
            </w:r>
          </w:p>
        </w:tc>
        <w:tc>
          <w:tcPr>
            <w:tcW w:w="248" w:type="pct"/>
            <w:tcBorders>
              <w:tl2br w:val="nil"/>
              <w:tr2bl w:val="nil"/>
            </w:tcBorders>
            <w:shd w:val="clear" w:color="auto" w:fill="auto"/>
            <w:tcMar>
              <w:top w:w="12" w:type="dxa"/>
              <w:left w:w="12" w:type="dxa"/>
              <w:right w:w="12" w:type="dxa"/>
            </w:tcMar>
            <w:vAlign w:val="center"/>
          </w:tcPr>
          <w:p w14:paraId="1AFF62EA">
            <w:pPr>
              <w:adjustRightInd w:val="0"/>
              <w:snapToGrid w:val="0"/>
              <w:jc w:val="center"/>
              <w:rPr>
                <w:rFonts w:hint="default" w:ascii="Times New Roman" w:hAnsi="Times New Roman" w:cs="宋体" w:eastAsiaTheme="minorEastAsia"/>
                <w:bCs/>
                <w:kern w:val="0"/>
                <w:sz w:val="17"/>
                <w:szCs w:val="17"/>
                <w:highlight w:val="none"/>
                <w:lang w:val="en-US" w:eastAsia="zh-CN"/>
              </w:rPr>
            </w:pPr>
            <w:r>
              <w:rPr>
                <w:rFonts w:hint="eastAsia" w:ascii="Times New Roman" w:hAnsi="Times New Roman" w:cs="宋体"/>
                <w:bCs/>
                <w:kern w:val="0"/>
                <w:sz w:val="17"/>
                <w:szCs w:val="17"/>
                <w:highlight w:val="none"/>
                <w:lang w:val="en-US" w:eastAsia="zh-CN"/>
              </w:rPr>
              <w:t>64</w:t>
            </w:r>
          </w:p>
        </w:tc>
        <w:tc>
          <w:tcPr>
            <w:tcW w:w="285" w:type="pct"/>
            <w:tcBorders>
              <w:tl2br w:val="nil"/>
              <w:tr2bl w:val="nil"/>
            </w:tcBorders>
            <w:shd w:val="clear" w:color="auto" w:fill="auto"/>
            <w:tcMar>
              <w:top w:w="12" w:type="dxa"/>
              <w:left w:w="12" w:type="dxa"/>
              <w:right w:w="12" w:type="dxa"/>
            </w:tcMar>
            <w:vAlign w:val="center"/>
          </w:tcPr>
          <w:p w14:paraId="343149E6">
            <w:pPr>
              <w:adjustRightInd w:val="0"/>
              <w:snapToGrid w:val="0"/>
              <w:jc w:val="center"/>
              <w:rPr>
                <w:rFonts w:hint="default" w:ascii="Times New Roman" w:hAnsi="Times New Roman" w:cs="宋体" w:eastAsiaTheme="minorEastAsia"/>
                <w:bCs/>
                <w:kern w:val="0"/>
                <w:sz w:val="17"/>
                <w:szCs w:val="17"/>
                <w:highlight w:val="none"/>
                <w:lang w:val="en-US" w:eastAsia="zh-CN"/>
              </w:rPr>
            </w:pPr>
            <w:r>
              <w:rPr>
                <w:rFonts w:hint="eastAsia" w:ascii="Times New Roman" w:hAnsi="Times New Roman" w:cs="宋体"/>
                <w:bCs/>
                <w:kern w:val="0"/>
                <w:sz w:val="17"/>
                <w:szCs w:val="17"/>
                <w:highlight w:val="none"/>
                <w:lang w:val="en-US" w:eastAsia="zh-CN"/>
              </w:rPr>
              <w:t>64</w:t>
            </w:r>
          </w:p>
        </w:tc>
        <w:tc>
          <w:tcPr>
            <w:tcW w:w="301" w:type="pct"/>
            <w:tcBorders>
              <w:tl2br w:val="nil"/>
              <w:tr2bl w:val="nil"/>
            </w:tcBorders>
            <w:shd w:val="clear" w:color="auto" w:fill="auto"/>
            <w:tcMar>
              <w:top w:w="12" w:type="dxa"/>
              <w:left w:w="12" w:type="dxa"/>
              <w:right w:w="12" w:type="dxa"/>
            </w:tcMar>
            <w:vAlign w:val="center"/>
          </w:tcPr>
          <w:p w14:paraId="1E7B8110">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7741597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2B549DD7">
            <w:pPr>
              <w:adjustRightInd w:val="0"/>
              <w:spacing w:line="200" w:lineRule="exact"/>
              <w:jc w:val="center"/>
              <w:rPr>
                <w:rFonts w:hint="eastAsia" w:ascii="Times New Roman" w:hAnsi="Times New Roman" w:eastAsia="宋体" w:cs="Times New Roman"/>
                <w:color w:val="000000"/>
                <w:kern w:val="0"/>
                <w:sz w:val="18"/>
                <w:szCs w:val="18"/>
                <w:lang w:val="en-US" w:eastAsia="zh-CN" w:bidi="ar"/>
              </w:rPr>
            </w:pPr>
            <w:r>
              <w:rPr>
                <w:rFonts w:hint="eastAsia" w:ascii="Times New Roman" w:hAnsi="Times New Roman" w:eastAsia="宋体" w:cs="Times New Roman"/>
                <w:color w:val="000000"/>
                <w:kern w:val="0"/>
                <w:sz w:val="18"/>
                <w:szCs w:val="18"/>
                <w:lang w:val="en-US" w:eastAsia="zh-CN" w:bidi="ar"/>
              </w:rPr>
              <w:t>1</w:t>
            </w:r>
          </w:p>
        </w:tc>
        <w:tc>
          <w:tcPr>
            <w:tcW w:w="811" w:type="pct"/>
            <w:tcBorders>
              <w:tl2br w:val="nil"/>
              <w:tr2bl w:val="nil"/>
            </w:tcBorders>
            <w:shd w:val="clear" w:color="auto" w:fill="auto"/>
            <w:tcMar>
              <w:top w:w="12" w:type="dxa"/>
              <w:left w:w="12" w:type="dxa"/>
              <w:right w:w="12" w:type="dxa"/>
            </w:tcMar>
            <w:vAlign w:val="center"/>
          </w:tcPr>
          <w:p w14:paraId="5622122B">
            <w:pPr>
              <w:adjustRightInd w:val="0"/>
              <w:spacing w:line="200" w:lineRule="exact"/>
              <w:jc w:val="center"/>
              <w:rPr>
                <w:rFonts w:hint="eastAsia" w:ascii="Times New Roman" w:hAnsi="Times New Roman" w:cs="Times New Roman"/>
                <w:bCs/>
                <w:kern w:val="0"/>
                <w:sz w:val="17"/>
                <w:szCs w:val="17"/>
                <w:highlight w:val="none"/>
                <w:lang w:val="en-US" w:eastAsia="zh-CN"/>
              </w:rPr>
            </w:pPr>
          </w:p>
        </w:tc>
      </w:tr>
      <w:tr w14:paraId="02190F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BFCE694">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49CA9E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2A441B1C">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3221111003</w:t>
            </w:r>
          </w:p>
        </w:tc>
        <w:tc>
          <w:tcPr>
            <w:tcW w:w="1250" w:type="pct"/>
            <w:tcBorders>
              <w:tl2br w:val="nil"/>
              <w:tr2bl w:val="nil"/>
            </w:tcBorders>
            <w:shd w:val="clear" w:color="auto" w:fill="auto"/>
            <w:tcMar>
              <w:top w:w="12" w:type="dxa"/>
              <w:left w:w="12" w:type="dxa"/>
              <w:right w:w="12" w:type="dxa"/>
            </w:tcMar>
            <w:vAlign w:val="center"/>
          </w:tcPr>
          <w:p w14:paraId="42FBF3F3">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高等数学A(二)</w:t>
            </w:r>
          </w:p>
          <w:p w14:paraId="44EEACE3">
            <w:pPr>
              <w:adjustRightInd w:val="0"/>
              <w:spacing w:line="200" w:lineRule="exact"/>
              <w:jc w:val="left"/>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Advanced Mathematics A</w:t>
            </w:r>
            <w:r>
              <w:rPr>
                <w:rFonts w:hint="default"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(II)</w:t>
            </w:r>
          </w:p>
        </w:tc>
        <w:tc>
          <w:tcPr>
            <w:tcW w:w="306" w:type="pct"/>
            <w:tcBorders>
              <w:tl2br w:val="nil"/>
              <w:tr2bl w:val="nil"/>
            </w:tcBorders>
            <w:shd w:val="clear" w:color="auto" w:fill="auto"/>
            <w:tcMar>
              <w:top w:w="12" w:type="dxa"/>
              <w:left w:w="12" w:type="dxa"/>
              <w:right w:w="12" w:type="dxa"/>
            </w:tcMar>
            <w:vAlign w:val="center"/>
          </w:tcPr>
          <w:p w14:paraId="276B9E05">
            <w:pPr>
              <w:widowControl/>
              <w:jc w:val="center"/>
              <w:textAlignment w:val="center"/>
              <w:rPr>
                <w:rFonts w:hint="eastAsia" w:ascii="Times New Roman" w:hAnsi="Times New Roman" w:cs="宋体"/>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74C90BCD">
            <w:pPr>
              <w:widowControl/>
              <w:jc w:val="center"/>
              <w:textAlignment w:val="center"/>
              <w:rPr>
                <w:rFonts w:hint="eastAsia" w:ascii="Times New Roman" w:hAnsi="Times New Roman" w:cs="宋体"/>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32</w:t>
            </w:r>
          </w:p>
        </w:tc>
        <w:tc>
          <w:tcPr>
            <w:tcW w:w="285" w:type="pct"/>
            <w:tcBorders>
              <w:tl2br w:val="nil"/>
              <w:tr2bl w:val="nil"/>
            </w:tcBorders>
            <w:shd w:val="clear" w:color="auto" w:fill="auto"/>
            <w:tcMar>
              <w:top w:w="12" w:type="dxa"/>
              <w:left w:w="12" w:type="dxa"/>
              <w:right w:w="12" w:type="dxa"/>
            </w:tcMar>
            <w:vAlign w:val="center"/>
          </w:tcPr>
          <w:p w14:paraId="641034A3">
            <w:pPr>
              <w:jc w:val="center"/>
              <w:rPr>
                <w:rFonts w:hint="eastAsia" w:ascii="Times New Roman" w:hAnsi="Times New Roman" w:cs="宋体"/>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32</w:t>
            </w:r>
          </w:p>
        </w:tc>
        <w:tc>
          <w:tcPr>
            <w:tcW w:w="301" w:type="pct"/>
            <w:tcBorders>
              <w:tl2br w:val="nil"/>
              <w:tr2bl w:val="nil"/>
            </w:tcBorders>
            <w:shd w:val="clear" w:color="auto" w:fill="auto"/>
            <w:tcMar>
              <w:top w:w="12" w:type="dxa"/>
              <w:left w:w="12" w:type="dxa"/>
              <w:right w:w="12" w:type="dxa"/>
            </w:tcMar>
            <w:vAlign w:val="center"/>
          </w:tcPr>
          <w:p w14:paraId="54F87EFD">
            <w:pPr>
              <w:widowControl/>
              <w:jc w:val="center"/>
              <w:textAlignment w:val="center"/>
              <w:rPr>
                <w:rFonts w:hint="eastAsia" w:ascii="Times New Roman" w:hAnsi="Times New Roman" w:cs="Times New Roman"/>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69DB72E2">
            <w:pPr>
              <w:jc w:val="center"/>
              <w:rPr>
                <w:rFonts w:hint="eastAsia" w:ascii="Times New Roman" w:hAnsi="Times New Roman" w:cs="Times New Roman"/>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考试</w:t>
            </w:r>
          </w:p>
        </w:tc>
        <w:tc>
          <w:tcPr>
            <w:tcW w:w="327" w:type="pct"/>
            <w:tcBorders>
              <w:tl2br w:val="nil"/>
              <w:tr2bl w:val="nil"/>
            </w:tcBorders>
            <w:shd w:val="clear" w:color="auto" w:fill="auto"/>
            <w:tcMar>
              <w:top w:w="12" w:type="dxa"/>
              <w:left w:w="12" w:type="dxa"/>
              <w:right w:w="12" w:type="dxa"/>
            </w:tcMar>
            <w:vAlign w:val="center"/>
          </w:tcPr>
          <w:p w14:paraId="12F24CB1">
            <w:pPr>
              <w:widowControl/>
              <w:jc w:val="center"/>
              <w:textAlignment w:val="center"/>
              <w:rPr>
                <w:rFonts w:hint="eastAsia" w:ascii="Times New Roman" w:hAnsi="Times New Roman" w:eastAsia="宋体" w:cs="Times New Roman"/>
                <w:color w:val="000000"/>
                <w:kern w:val="0"/>
                <w:sz w:val="18"/>
                <w:szCs w:val="18"/>
                <w:lang w:val="en-US" w:eastAsia="zh-CN" w:bidi="ar"/>
              </w:rPr>
            </w:pPr>
            <w:r>
              <w:rPr>
                <w:rFonts w:hint="eastAsia" w:asciiTheme="minorEastAsia" w:hAnsiTheme="minorEastAsia" w:eastAsiaTheme="minorEastAsia" w:cstheme="minorEastAsia"/>
                <w:color w:val="auto"/>
                <w:sz w:val="17"/>
                <w:szCs w:val="17"/>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5127DF6C">
            <w:pPr>
              <w:widowControl/>
              <w:jc w:val="center"/>
              <w:textAlignment w:val="center"/>
              <w:rPr>
                <w:rFonts w:hint="eastAsia" w:ascii="Times New Roman" w:hAnsi="Times New Roman" w:cs="Times New Roman"/>
                <w:bCs/>
                <w:kern w:val="0"/>
                <w:sz w:val="17"/>
                <w:szCs w:val="17"/>
                <w:highlight w:val="none"/>
                <w:lang w:val="en-US" w:eastAsia="zh-CN"/>
              </w:rPr>
            </w:pPr>
          </w:p>
        </w:tc>
      </w:tr>
      <w:tr w14:paraId="7DBC04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2F51B9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EB0B27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1B39BBE8">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3421289001</w:t>
            </w:r>
          </w:p>
        </w:tc>
        <w:tc>
          <w:tcPr>
            <w:tcW w:w="1250" w:type="pct"/>
            <w:tcBorders>
              <w:tl2br w:val="nil"/>
              <w:tr2bl w:val="nil"/>
            </w:tcBorders>
            <w:shd w:val="clear" w:color="auto" w:fill="auto"/>
            <w:tcMar>
              <w:top w:w="12" w:type="dxa"/>
              <w:left w:w="12" w:type="dxa"/>
              <w:right w:w="12" w:type="dxa"/>
            </w:tcMar>
            <w:vAlign w:val="center"/>
          </w:tcPr>
          <w:p w14:paraId="00FA7501">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大学体育（一）</w:t>
            </w:r>
          </w:p>
          <w:p w14:paraId="03E53EF4">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University Sports</w:t>
            </w:r>
            <w:r>
              <w:rPr>
                <w:rFonts w:hint="eastAsia" w:ascii="Times New Roman" w:hAnsi="Times New Roman" w:eastAsia="宋体" w:cs="Times New Roman"/>
                <w:bCs/>
                <w:kern w:val="0"/>
                <w:sz w:val="17"/>
                <w:szCs w:val="17"/>
                <w:lang w:val="en-US" w:eastAsia="zh-CN" w:bidi="ar"/>
              </w:rPr>
              <w:t xml:space="preserve"> (I)</w:t>
            </w:r>
          </w:p>
        </w:tc>
        <w:tc>
          <w:tcPr>
            <w:tcW w:w="306" w:type="pct"/>
            <w:tcBorders>
              <w:tl2br w:val="nil"/>
              <w:tr2bl w:val="nil"/>
            </w:tcBorders>
            <w:shd w:val="clear" w:color="auto" w:fill="auto"/>
            <w:tcMar>
              <w:top w:w="12" w:type="dxa"/>
              <w:left w:w="12" w:type="dxa"/>
              <w:right w:w="12" w:type="dxa"/>
            </w:tcMar>
            <w:vAlign w:val="center"/>
          </w:tcPr>
          <w:p w14:paraId="7535DBC9">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1</w:t>
            </w:r>
          </w:p>
        </w:tc>
        <w:tc>
          <w:tcPr>
            <w:tcW w:w="248" w:type="pct"/>
            <w:tcBorders>
              <w:tl2br w:val="nil"/>
              <w:tr2bl w:val="nil"/>
            </w:tcBorders>
            <w:shd w:val="clear" w:color="auto" w:fill="auto"/>
            <w:tcMar>
              <w:top w:w="12" w:type="dxa"/>
              <w:left w:w="12" w:type="dxa"/>
              <w:right w:w="12" w:type="dxa"/>
            </w:tcMar>
            <w:vAlign w:val="center"/>
          </w:tcPr>
          <w:p w14:paraId="5F9EC1B7">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shd w:val="clear" w:color="auto" w:fill="auto"/>
            <w:tcMar>
              <w:top w:w="12" w:type="dxa"/>
              <w:left w:w="12" w:type="dxa"/>
              <w:right w:w="12" w:type="dxa"/>
            </w:tcMar>
            <w:vAlign w:val="center"/>
          </w:tcPr>
          <w:p w14:paraId="31758FB9">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kern w:val="0"/>
                <w:sz w:val="17"/>
                <w:szCs w:val="17"/>
              </w:rPr>
              <w:t>4</w:t>
            </w:r>
          </w:p>
        </w:tc>
        <w:tc>
          <w:tcPr>
            <w:tcW w:w="301" w:type="pct"/>
            <w:tcBorders>
              <w:tl2br w:val="nil"/>
              <w:tr2bl w:val="nil"/>
            </w:tcBorders>
            <w:shd w:val="clear" w:color="auto" w:fill="auto"/>
            <w:tcMar>
              <w:top w:w="12" w:type="dxa"/>
              <w:left w:w="12" w:type="dxa"/>
              <w:right w:w="12" w:type="dxa"/>
            </w:tcMar>
            <w:vAlign w:val="center"/>
          </w:tcPr>
          <w:p w14:paraId="221DE41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32</w:t>
            </w:r>
          </w:p>
        </w:tc>
        <w:tc>
          <w:tcPr>
            <w:tcW w:w="295" w:type="pct"/>
            <w:tcBorders>
              <w:tl2br w:val="nil"/>
              <w:tr2bl w:val="nil"/>
            </w:tcBorders>
            <w:shd w:val="clear" w:color="auto" w:fill="auto"/>
            <w:tcMar>
              <w:top w:w="12" w:type="dxa"/>
              <w:left w:w="12" w:type="dxa"/>
              <w:right w:w="12" w:type="dxa"/>
            </w:tcMar>
            <w:vAlign w:val="center"/>
          </w:tcPr>
          <w:p w14:paraId="32B9631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668498D9">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3D41246E">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444A34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5EF717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EEA67E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145063A1">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3421289002</w:t>
            </w:r>
          </w:p>
        </w:tc>
        <w:tc>
          <w:tcPr>
            <w:tcW w:w="1250" w:type="pct"/>
            <w:tcBorders>
              <w:tl2br w:val="nil"/>
              <w:tr2bl w:val="nil"/>
            </w:tcBorders>
            <w:shd w:val="clear" w:color="auto" w:fill="auto"/>
            <w:tcMar>
              <w:top w:w="12" w:type="dxa"/>
              <w:left w:w="12" w:type="dxa"/>
              <w:right w:w="12" w:type="dxa"/>
            </w:tcMar>
            <w:vAlign w:val="center"/>
          </w:tcPr>
          <w:p w14:paraId="7797AD4A">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大学体育（二）</w:t>
            </w:r>
          </w:p>
          <w:p w14:paraId="32F88C5D">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University Sports</w:t>
            </w:r>
            <w:r>
              <w:rPr>
                <w:rFonts w:hint="eastAsia" w:ascii="Times New Roman" w:hAnsi="Times New Roman" w:eastAsia="宋体" w:cs="Times New Roman"/>
                <w:bCs/>
                <w:kern w:val="0"/>
                <w:sz w:val="17"/>
                <w:szCs w:val="17"/>
                <w:lang w:val="en-US" w:eastAsia="zh-CN" w:bidi="ar"/>
              </w:rPr>
              <w:t xml:space="preserve"> (II)</w:t>
            </w:r>
          </w:p>
        </w:tc>
        <w:tc>
          <w:tcPr>
            <w:tcW w:w="306" w:type="pct"/>
            <w:tcBorders>
              <w:tl2br w:val="nil"/>
              <w:tr2bl w:val="nil"/>
            </w:tcBorders>
            <w:shd w:val="clear" w:color="auto" w:fill="auto"/>
            <w:tcMar>
              <w:top w:w="12" w:type="dxa"/>
              <w:left w:w="12" w:type="dxa"/>
              <w:right w:w="12" w:type="dxa"/>
            </w:tcMar>
            <w:vAlign w:val="center"/>
          </w:tcPr>
          <w:p w14:paraId="69722CB7">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1</w:t>
            </w:r>
          </w:p>
        </w:tc>
        <w:tc>
          <w:tcPr>
            <w:tcW w:w="248" w:type="pct"/>
            <w:tcBorders>
              <w:tl2br w:val="nil"/>
              <w:tr2bl w:val="nil"/>
            </w:tcBorders>
            <w:shd w:val="clear" w:color="auto" w:fill="auto"/>
            <w:tcMar>
              <w:top w:w="12" w:type="dxa"/>
              <w:left w:w="12" w:type="dxa"/>
              <w:right w:w="12" w:type="dxa"/>
            </w:tcMar>
            <w:vAlign w:val="center"/>
          </w:tcPr>
          <w:p w14:paraId="7B505D58">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shd w:val="clear" w:color="auto" w:fill="auto"/>
            <w:tcMar>
              <w:top w:w="12" w:type="dxa"/>
              <w:left w:w="12" w:type="dxa"/>
              <w:right w:w="12" w:type="dxa"/>
            </w:tcMar>
            <w:vAlign w:val="center"/>
          </w:tcPr>
          <w:p w14:paraId="7236EAAE">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kern w:val="0"/>
                <w:sz w:val="17"/>
                <w:szCs w:val="17"/>
              </w:rPr>
              <w:t>4</w:t>
            </w:r>
          </w:p>
        </w:tc>
        <w:tc>
          <w:tcPr>
            <w:tcW w:w="301" w:type="pct"/>
            <w:tcBorders>
              <w:tl2br w:val="nil"/>
              <w:tr2bl w:val="nil"/>
            </w:tcBorders>
            <w:shd w:val="clear" w:color="auto" w:fill="auto"/>
            <w:tcMar>
              <w:top w:w="12" w:type="dxa"/>
              <w:left w:w="12" w:type="dxa"/>
              <w:right w:w="12" w:type="dxa"/>
            </w:tcMar>
            <w:vAlign w:val="center"/>
          </w:tcPr>
          <w:p w14:paraId="7BF32380">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32</w:t>
            </w:r>
          </w:p>
        </w:tc>
        <w:tc>
          <w:tcPr>
            <w:tcW w:w="295" w:type="pct"/>
            <w:tcBorders>
              <w:tl2br w:val="nil"/>
              <w:tr2bl w:val="nil"/>
            </w:tcBorders>
            <w:shd w:val="clear" w:color="auto" w:fill="auto"/>
            <w:tcMar>
              <w:top w:w="12" w:type="dxa"/>
              <w:left w:w="12" w:type="dxa"/>
              <w:right w:w="12" w:type="dxa"/>
            </w:tcMar>
            <w:vAlign w:val="center"/>
          </w:tcPr>
          <w:p w14:paraId="392181F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6847446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74AA49A6">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1E416F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7E4545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8C63D5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503FB8EC">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3421289003</w:t>
            </w:r>
          </w:p>
        </w:tc>
        <w:tc>
          <w:tcPr>
            <w:tcW w:w="1250" w:type="pct"/>
            <w:tcBorders>
              <w:tl2br w:val="nil"/>
              <w:tr2bl w:val="nil"/>
            </w:tcBorders>
            <w:shd w:val="clear" w:color="auto" w:fill="auto"/>
            <w:tcMar>
              <w:top w:w="12" w:type="dxa"/>
              <w:left w:w="12" w:type="dxa"/>
              <w:right w:w="12" w:type="dxa"/>
            </w:tcMar>
            <w:vAlign w:val="center"/>
          </w:tcPr>
          <w:p w14:paraId="7D979F09">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大学体育（三）</w:t>
            </w:r>
          </w:p>
          <w:p w14:paraId="4009020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University Sports（III）</w:t>
            </w:r>
          </w:p>
        </w:tc>
        <w:tc>
          <w:tcPr>
            <w:tcW w:w="306" w:type="pct"/>
            <w:tcBorders>
              <w:tl2br w:val="nil"/>
              <w:tr2bl w:val="nil"/>
            </w:tcBorders>
            <w:shd w:val="clear" w:color="auto" w:fill="auto"/>
            <w:tcMar>
              <w:top w:w="12" w:type="dxa"/>
              <w:left w:w="12" w:type="dxa"/>
              <w:right w:w="12" w:type="dxa"/>
            </w:tcMar>
            <w:vAlign w:val="center"/>
          </w:tcPr>
          <w:p w14:paraId="02C4D8DA">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1</w:t>
            </w:r>
          </w:p>
        </w:tc>
        <w:tc>
          <w:tcPr>
            <w:tcW w:w="248" w:type="pct"/>
            <w:tcBorders>
              <w:tl2br w:val="nil"/>
              <w:tr2bl w:val="nil"/>
            </w:tcBorders>
            <w:shd w:val="clear" w:color="auto" w:fill="auto"/>
            <w:tcMar>
              <w:top w:w="12" w:type="dxa"/>
              <w:left w:w="12" w:type="dxa"/>
              <w:right w:w="12" w:type="dxa"/>
            </w:tcMar>
            <w:vAlign w:val="center"/>
          </w:tcPr>
          <w:p w14:paraId="091DF3FA">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shd w:val="clear" w:color="auto" w:fill="auto"/>
            <w:tcMar>
              <w:top w:w="12" w:type="dxa"/>
              <w:left w:w="12" w:type="dxa"/>
              <w:right w:w="12" w:type="dxa"/>
            </w:tcMar>
            <w:vAlign w:val="center"/>
          </w:tcPr>
          <w:p w14:paraId="4BE7A01A">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kern w:val="0"/>
                <w:sz w:val="17"/>
                <w:szCs w:val="17"/>
              </w:rPr>
              <w:t>4</w:t>
            </w:r>
          </w:p>
        </w:tc>
        <w:tc>
          <w:tcPr>
            <w:tcW w:w="301" w:type="pct"/>
            <w:tcBorders>
              <w:tl2br w:val="nil"/>
              <w:tr2bl w:val="nil"/>
            </w:tcBorders>
            <w:shd w:val="clear" w:color="auto" w:fill="auto"/>
            <w:tcMar>
              <w:top w:w="12" w:type="dxa"/>
              <w:left w:w="12" w:type="dxa"/>
              <w:right w:w="12" w:type="dxa"/>
            </w:tcMar>
            <w:vAlign w:val="center"/>
          </w:tcPr>
          <w:p w14:paraId="19D6980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32</w:t>
            </w:r>
          </w:p>
        </w:tc>
        <w:tc>
          <w:tcPr>
            <w:tcW w:w="295" w:type="pct"/>
            <w:tcBorders>
              <w:tl2br w:val="nil"/>
              <w:tr2bl w:val="nil"/>
            </w:tcBorders>
            <w:shd w:val="clear" w:color="auto" w:fill="auto"/>
            <w:tcMar>
              <w:top w:w="12" w:type="dxa"/>
              <w:left w:w="12" w:type="dxa"/>
              <w:right w:w="12" w:type="dxa"/>
            </w:tcMar>
            <w:vAlign w:val="center"/>
          </w:tcPr>
          <w:p w14:paraId="4932D39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4E7B3A2D">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29E92914">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11876B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B34F47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6EB40E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0DB952FD">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3421289004</w:t>
            </w:r>
          </w:p>
        </w:tc>
        <w:tc>
          <w:tcPr>
            <w:tcW w:w="1250" w:type="pct"/>
            <w:tcBorders>
              <w:tl2br w:val="nil"/>
              <w:tr2bl w:val="nil"/>
            </w:tcBorders>
            <w:shd w:val="clear" w:color="auto" w:fill="auto"/>
            <w:tcMar>
              <w:top w:w="12" w:type="dxa"/>
              <w:left w:w="12" w:type="dxa"/>
              <w:right w:w="12" w:type="dxa"/>
            </w:tcMar>
            <w:vAlign w:val="center"/>
          </w:tcPr>
          <w:p w14:paraId="6186BAF3">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大学体育（四）</w:t>
            </w:r>
          </w:p>
          <w:p w14:paraId="3444C5A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University Sports（IV）</w:t>
            </w:r>
          </w:p>
        </w:tc>
        <w:tc>
          <w:tcPr>
            <w:tcW w:w="306" w:type="pct"/>
            <w:tcBorders>
              <w:tl2br w:val="nil"/>
              <w:tr2bl w:val="nil"/>
            </w:tcBorders>
            <w:shd w:val="clear" w:color="auto" w:fill="auto"/>
            <w:tcMar>
              <w:top w:w="12" w:type="dxa"/>
              <w:left w:w="12" w:type="dxa"/>
              <w:right w:w="12" w:type="dxa"/>
            </w:tcMar>
            <w:vAlign w:val="center"/>
          </w:tcPr>
          <w:p w14:paraId="5C724324">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1</w:t>
            </w:r>
          </w:p>
        </w:tc>
        <w:tc>
          <w:tcPr>
            <w:tcW w:w="248" w:type="pct"/>
            <w:tcBorders>
              <w:tl2br w:val="nil"/>
              <w:tr2bl w:val="nil"/>
            </w:tcBorders>
            <w:shd w:val="clear" w:color="auto" w:fill="auto"/>
            <w:tcMar>
              <w:top w:w="12" w:type="dxa"/>
              <w:left w:w="12" w:type="dxa"/>
              <w:right w:w="12" w:type="dxa"/>
            </w:tcMar>
            <w:vAlign w:val="center"/>
          </w:tcPr>
          <w:p w14:paraId="377ED108">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shd w:val="clear" w:color="auto" w:fill="auto"/>
            <w:tcMar>
              <w:top w:w="12" w:type="dxa"/>
              <w:left w:w="12" w:type="dxa"/>
              <w:right w:w="12" w:type="dxa"/>
            </w:tcMar>
            <w:vAlign w:val="center"/>
          </w:tcPr>
          <w:p w14:paraId="5DAC9A69">
            <w:pPr>
              <w:adjustRightInd w:val="0"/>
              <w:snapToGrid w:val="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lang w:bidi="ar"/>
              </w:rPr>
              <w:t>4</w:t>
            </w:r>
          </w:p>
        </w:tc>
        <w:tc>
          <w:tcPr>
            <w:tcW w:w="301" w:type="pct"/>
            <w:tcBorders>
              <w:tl2br w:val="nil"/>
              <w:tr2bl w:val="nil"/>
            </w:tcBorders>
            <w:shd w:val="clear" w:color="auto" w:fill="auto"/>
            <w:tcMar>
              <w:top w:w="12" w:type="dxa"/>
              <w:left w:w="12" w:type="dxa"/>
              <w:right w:w="12" w:type="dxa"/>
            </w:tcMar>
            <w:vAlign w:val="center"/>
          </w:tcPr>
          <w:p w14:paraId="6D433F5E">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rPr>
              <w:t>32</w:t>
            </w:r>
          </w:p>
        </w:tc>
        <w:tc>
          <w:tcPr>
            <w:tcW w:w="295" w:type="pct"/>
            <w:tcBorders>
              <w:tl2br w:val="nil"/>
              <w:tr2bl w:val="nil"/>
            </w:tcBorders>
            <w:shd w:val="clear" w:color="auto" w:fill="auto"/>
            <w:tcMar>
              <w:top w:w="12" w:type="dxa"/>
              <w:left w:w="12" w:type="dxa"/>
              <w:right w:w="12" w:type="dxa"/>
            </w:tcMar>
            <w:vAlign w:val="center"/>
          </w:tcPr>
          <w:p w14:paraId="02A243A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79A2CAE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4</w:t>
            </w:r>
          </w:p>
        </w:tc>
        <w:tc>
          <w:tcPr>
            <w:tcW w:w="811" w:type="pct"/>
            <w:tcBorders>
              <w:tl2br w:val="nil"/>
              <w:tr2bl w:val="nil"/>
            </w:tcBorders>
            <w:shd w:val="clear" w:color="auto" w:fill="auto"/>
            <w:tcMar>
              <w:top w:w="12" w:type="dxa"/>
              <w:left w:w="12" w:type="dxa"/>
              <w:right w:w="12" w:type="dxa"/>
            </w:tcMar>
            <w:vAlign w:val="center"/>
          </w:tcPr>
          <w:p w14:paraId="06BEDBD3">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2A0D81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D9CDA9D">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D7689D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5F2A656A">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2021252002</w:t>
            </w:r>
          </w:p>
        </w:tc>
        <w:tc>
          <w:tcPr>
            <w:tcW w:w="1250" w:type="pct"/>
            <w:tcBorders>
              <w:tl2br w:val="nil"/>
              <w:tr2bl w:val="nil"/>
            </w:tcBorders>
            <w:shd w:val="clear" w:color="auto" w:fill="auto"/>
            <w:tcMar>
              <w:top w:w="12" w:type="dxa"/>
              <w:left w:w="12" w:type="dxa"/>
              <w:right w:w="12" w:type="dxa"/>
            </w:tcMar>
            <w:vAlign w:val="center"/>
          </w:tcPr>
          <w:p w14:paraId="6F2772C2">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信息技术与人工智能基础</w:t>
            </w:r>
          </w:p>
          <w:p w14:paraId="5E0037A1">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Fundamentals of Information Technology and Artificial Intelligence</w:t>
            </w:r>
          </w:p>
        </w:tc>
        <w:tc>
          <w:tcPr>
            <w:tcW w:w="306" w:type="pct"/>
            <w:tcBorders>
              <w:tl2br w:val="nil"/>
              <w:tr2bl w:val="nil"/>
            </w:tcBorders>
            <w:shd w:val="clear" w:color="auto" w:fill="auto"/>
            <w:tcMar>
              <w:top w:w="12" w:type="dxa"/>
              <w:left w:w="12" w:type="dxa"/>
              <w:right w:w="12" w:type="dxa"/>
            </w:tcMar>
            <w:vAlign w:val="center"/>
          </w:tcPr>
          <w:p w14:paraId="1B102977">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1.5</w:t>
            </w:r>
          </w:p>
        </w:tc>
        <w:tc>
          <w:tcPr>
            <w:tcW w:w="248" w:type="pct"/>
            <w:tcBorders>
              <w:tl2br w:val="nil"/>
              <w:tr2bl w:val="nil"/>
            </w:tcBorders>
            <w:shd w:val="clear" w:color="auto" w:fill="auto"/>
            <w:tcMar>
              <w:top w:w="12" w:type="dxa"/>
              <w:left w:w="12" w:type="dxa"/>
              <w:right w:w="12" w:type="dxa"/>
            </w:tcMar>
            <w:vAlign w:val="center"/>
          </w:tcPr>
          <w:p w14:paraId="7808B054">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24</w:t>
            </w:r>
          </w:p>
        </w:tc>
        <w:tc>
          <w:tcPr>
            <w:tcW w:w="285" w:type="pct"/>
            <w:tcBorders>
              <w:tl2br w:val="nil"/>
              <w:tr2bl w:val="nil"/>
            </w:tcBorders>
            <w:shd w:val="clear" w:color="auto" w:fill="auto"/>
            <w:tcMar>
              <w:top w:w="12" w:type="dxa"/>
              <w:left w:w="12" w:type="dxa"/>
              <w:right w:w="12" w:type="dxa"/>
            </w:tcMar>
            <w:vAlign w:val="center"/>
          </w:tcPr>
          <w:p w14:paraId="1DB55BA8">
            <w:pPr>
              <w:adjustRightInd w:val="0"/>
              <w:snapToGrid w:val="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14</w:t>
            </w:r>
          </w:p>
        </w:tc>
        <w:tc>
          <w:tcPr>
            <w:tcW w:w="301" w:type="pct"/>
            <w:tcBorders>
              <w:tl2br w:val="nil"/>
              <w:tr2bl w:val="nil"/>
            </w:tcBorders>
            <w:shd w:val="clear" w:color="auto" w:fill="auto"/>
            <w:tcMar>
              <w:top w:w="12" w:type="dxa"/>
              <w:left w:w="12" w:type="dxa"/>
              <w:right w:w="12" w:type="dxa"/>
            </w:tcMar>
            <w:vAlign w:val="center"/>
          </w:tcPr>
          <w:p w14:paraId="683AB603">
            <w:pPr>
              <w:adjustRightInd w:val="0"/>
              <w:snapToGrid w:val="0"/>
              <w:jc w:val="center"/>
              <w:rPr>
                <w:rFonts w:hint="eastAsia" w:ascii="Times New Roman" w:hAnsi="Times New Roman" w:cs="Times New Roman" w:eastAsiaTheme="minorEastAsia"/>
                <w:bCs/>
                <w:kern w:val="0"/>
                <w:sz w:val="17"/>
                <w:szCs w:val="17"/>
                <w:highlight w:val="none"/>
                <w:lang w:val="en-US" w:eastAsia="zh-CN"/>
              </w:rPr>
            </w:pPr>
            <w:r>
              <w:rPr>
                <w:rFonts w:hint="eastAsia" w:ascii="Times New Roman" w:hAnsi="Times New Roman" w:cs="宋体"/>
                <w:bCs/>
                <w:kern w:val="0"/>
                <w:sz w:val="17"/>
                <w:szCs w:val="17"/>
                <w:highlight w:val="none"/>
              </w:rPr>
              <w:t>1</w:t>
            </w:r>
            <w:r>
              <w:rPr>
                <w:rFonts w:hint="eastAsia" w:ascii="Times New Roman" w:hAnsi="Times New Roman" w:cs="宋体"/>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32C2036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3ED93C2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4C9BC74C">
            <w:pPr>
              <w:widowControl/>
              <w:jc w:val="center"/>
              <w:textAlignment w:val="center"/>
              <w:rPr>
                <w:rFonts w:hint="default" w:ascii="Times New Roman" w:hAnsi="Times New Roman" w:cs="Times New Roman"/>
                <w:bCs/>
                <w:kern w:val="0"/>
                <w:sz w:val="17"/>
                <w:szCs w:val="17"/>
                <w:highlight w:val="none"/>
                <w:lang w:val="en-US" w:eastAsia="zh-CN"/>
              </w:rPr>
            </w:pPr>
          </w:p>
        </w:tc>
      </w:tr>
      <w:tr w14:paraId="2B2165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B6DD7E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E1FE5E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16EDE44C">
            <w:pPr>
              <w:adjustRightInd w:val="0"/>
              <w:snapToGrid w:val="0"/>
              <w:jc w:val="center"/>
              <w:rPr>
                <w:rFonts w:hint="default" w:ascii="Times New Roman" w:hAnsi="Times New Roman" w:cs="宋体"/>
                <w:bCs/>
                <w:sz w:val="17"/>
                <w:szCs w:val="17"/>
                <w:lang w:val="en-US" w:eastAsia="zh-CN"/>
              </w:rPr>
            </w:pPr>
            <w:r>
              <w:rPr>
                <w:rFonts w:hint="default" w:ascii="Times New Roman" w:hAnsi="Times New Roman" w:cs="宋体"/>
                <w:bCs/>
                <w:sz w:val="17"/>
                <w:szCs w:val="17"/>
              </w:rPr>
              <w:t>52</w:t>
            </w:r>
            <w:r>
              <w:rPr>
                <w:rFonts w:hint="eastAsia" w:ascii="Times New Roman" w:hAnsi="Times New Roman" w:cs="宋体"/>
                <w:bCs/>
                <w:sz w:val="17"/>
                <w:szCs w:val="17"/>
                <w:lang w:val="en-US" w:eastAsia="zh-CN"/>
              </w:rPr>
              <w:t>2</w:t>
            </w:r>
            <w:r>
              <w:rPr>
                <w:rFonts w:hint="default" w:ascii="Times New Roman" w:hAnsi="Times New Roman" w:cs="宋体"/>
                <w:bCs/>
                <w:sz w:val="17"/>
                <w:szCs w:val="17"/>
              </w:rPr>
              <w:t>128</w:t>
            </w:r>
            <w:r>
              <w:rPr>
                <w:rFonts w:hint="eastAsia" w:ascii="Times New Roman" w:hAnsi="Times New Roman" w:cs="宋体"/>
                <w:bCs/>
                <w:sz w:val="17"/>
                <w:szCs w:val="17"/>
                <w:lang w:val="en-US" w:eastAsia="zh-CN"/>
              </w:rPr>
              <w:t>8</w:t>
            </w:r>
            <w:r>
              <w:rPr>
                <w:rFonts w:hint="default" w:ascii="Times New Roman" w:hAnsi="Times New Roman" w:cs="宋体"/>
                <w:bCs/>
                <w:sz w:val="17"/>
                <w:szCs w:val="17"/>
              </w:rPr>
              <w:t>00</w:t>
            </w:r>
            <w:r>
              <w:rPr>
                <w:rFonts w:hint="eastAsia" w:ascii="Times New Roman" w:hAnsi="Times New Roman" w:cs="宋体"/>
                <w:bCs/>
                <w:sz w:val="17"/>
                <w:szCs w:val="17"/>
                <w:lang w:val="en-US" w:eastAsia="zh-CN"/>
              </w:rPr>
              <w:t>3</w:t>
            </w:r>
          </w:p>
        </w:tc>
        <w:tc>
          <w:tcPr>
            <w:tcW w:w="1250" w:type="pct"/>
            <w:tcBorders>
              <w:tl2br w:val="nil"/>
              <w:tr2bl w:val="nil"/>
            </w:tcBorders>
            <w:shd w:val="clear" w:color="auto" w:fill="auto"/>
            <w:tcMar>
              <w:top w:w="12" w:type="dxa"/>
              <w:left w:w="12" w:type="dxa"/>
              <w:right w:w="12" w:type="dxa"/>
            </w:tcMar>
            <w:vAlign w:val="center"/>
          </w:tcPr>
          <w:p w14:paraId="04BE1405">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大学生职业发展与就业指导</w:t>
            </w:r>
          </w:p>
          <w:p w14:paraId="02A8BD90">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Career Development and Employment Guidance for College Students </w:t>
            </w:r>
          </w:p>
        </w:tc>
        <w:tc>
          <w:tcPr>
            <w:tcW w:w="306" w:type="pct"/>
            <w:tcBorders>
              <w:tl2br w:val="nil"/>
              <w:tr2bl w:val="nil"/>
            </w:tcBorders>
            <w:shd w:val="clear" w:color="auto" w:fill="auto"/>
            <w:tcMar>
              <w:top w:w="12" w:type="dxa"/>
              <w:left w:w="12" w:type="dxa"/>
              <w:right w:w="12" w:type="dxa"/>
            </w:tcMar>
            <w:vAlign w:val="center"/>
          </w:tcPr>
          <w:p w14:paraId="000344E8">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0D33D168">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38</w:t>
            </w:r>
          </w:p>
        </w:tc>
        <w:tc>
          <w:tcPr>
            <w:tcW w:w="285" w:type="pct"/>
            <w:tcBorders>
              <w:tl2br w:val="nil"/>
              <w:tr2bl w:val="nil"/>
            </w:tcBorders>
            <w:shd w:val="clear" w:color="auto" w:fill="auto"/>
            <w:tcMar>
              <w:top w:w="12" w:type="dxa"/>
              <w:left w:w="12" w:type="dxa"/>
              <w:right w:w="12" w:type="dxa"/>
            </w:tcMar>
            <w:vAlign w:val="center"/>
          </w:tcPr>
          <w:p w14:paraId="57806CA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22</w:t>
            </w:r>
          </w:p>
        </w:tc>
        <w:tc>
          <w:tcPr>
            <w:tcW w:w="301" w:type="pct"/>
            <w:tcBorders>
              <w:tl2br w:val="nil"/>
              <w:tr2bl w:val="nil"/>
            </w:tcBorders>
            <w:shd w:val="clear" w:color="auto" w:fill="auto"/>
            <w:noWrap/>
            <w:tcMar>
              <w:top w:w="12" w:type="dxa"/>
              <w:left w:w="12" w:type="dxa"/>
              <w:right w:w="12" w:type="dxa"/>
            </w:tcMar>
            <w:vAlign w:val="center"/>
          </w:tcPr>
          <w:p w14:paraId="4213EC6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16</w:t>
            </w:r>
          </w:p>
        </w:tc>
        <w:tc>
          <w:tcPr>
            <w:tcW w:w="295" w:type="pct"/>
            <w:tcBorders>
              <w:tl2br w:val="nil"/>
              <w:tr2bl w:val="nil"/>
            </w:tcBorders>
            <w:shd w:val="clear" w:color="auto" w:fill="auto"/>
            <w:tcMar>
              <w:top w:w="12" w:type="dxa"/>
              <w:left w:w="12" w:type="dxa"/>
              <w:right w:w="12" w:type="dxa"/>
            </w:tcMar>
            <w:vAlign w:val="center"/>
          </w:tcPr>
          <w:p w14:paraId="7ECB6BB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3E92BF6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6FA550C3">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197372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A15FC6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3626C4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5B9F1091">
            <w:pPr>
              <w:adjustRightInd w:val="0"/>
              <w:snapToGrid w:val="0"/>
              <w:jc w:val="center"/>
              <w:rPr>
                <w:rFonts w:hint="default" w:ascii="Times New Roman" w:hAnsi="Times New Roman" w:cs="宋体"/>
                <w:bCs/>
                <w:sz w:val="17"/>
                <w:szCs w:val="17"/>
                <w:lang w:val="en-US" w:eastAsia="zh-CN"/>
              </w:rPr>
            </w:pPr>
            <w:r>
              <w:rPr>
                <w:rFonts w:hint="default" w:ascii="Times New Roman" w:hAnsi="Times New Roman" w:cs="宋体"/>
                <w:bCs/>
                <w:sz w:val="17"/>
                <w:szCs w:val="17"/>
              </w:rPr>
              <w:t>52</w:t>
            </w:r>
            <w:r>
              <w:rPr>
                <w:rFonts w:hint="eastAsia" w:ascii="Times New Roman" w:hAnsi="Times New Roman" w:cs="宋体"/>
                <w:bCs/>
                <w:sz w:val="17"/>
                <w:szCs w:val="17"/>
                <w:lang w:val="en-US" w:eastAsia="zh-CN"/>
              </w:rPr>
              <w:t>2</w:t>
            </w:r>
            <w:r>
              <w:rPr>
                <w:rFonts w:hint="default" w:ascii="Times New Roman" w:hAnsi="Times New Roman" w:cs="宋体"/>
                <w:bCs/>
                <w:sz w:val="17"/>
                <w:szCs w:val="17"/>
              </w:rPr>
              <w:t>128</w:t>
            </w:r>
            <w:r>
              <w:rPr>
                <w:rFonts w:hint="eastAsia" w:ascii="Times New Roman" w:hAnsi="Times New Roman" w:cs="宋体"/>
                <w:bCs/>
                <w:sz w:val="17"/>
                <w:szCs w:val="17"/>
                <w:lang w:val="en-US" w:eastAsia="zh-CN"/>
              </w:rPr>
              <w:t>8</w:t>
            </w:r>
            <w:r>
              <w:rPr>
                <w:rFonts w:hint="default" w:ascii="Times New Roman" w:hAnsi="Times New Roman" w:cs="宋体"/>
                <w:bCs/>
                <w:sz w:val="17"/>
                <w:szCs w:val="17"/>
              </w:rPr>
              <w:t>002</w:t>
            </w:r>
          </w:p>
        </w:tc>
        <w:tc>
          <w:tcPr>
            <w:tcW w:w="1250" w:type="pct"/>
            <w:tcBorders>
              <w:tl2br w:val="nil"/>
              <w:tr2bl w:val="nil"/>
            </w:tcBorders>
            <w:shd w:val="clear" w:color="auto" w:fill="auto"/>
            <w:tcMar>
              <w:top w:w="12" w:type="dxa"/>
              <w:left w:w="12" w:type="dxa"/>
              <w:right w:w="12" w:type="dxa"/>
            </w:tcMar>
            <w:vAlign w:val="center"/>
          </w:tcPr>
          <w:p w14:paraId="2EB33024">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创业基础</w:t>
            </w:r>
          </w:p>
          <w:p w14:paraId="276C9BD8">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College Students' Entrepreneurial Foundation</w:t>
            </w:r>
          </w:p>
        </w:tc>
        <w:tc>
          <w:tcPr>
            <w:tcW w:w="306" w:type="pct"/>
            <w:tcBorders>
              <w:tl2br w:val="nil"/>
              <w:tr2bl w:val="nil"/>
            </w:tcBorders>
            <w:shd w:val="clear" w:color="auto" w:fill="auto"/>
            <w:tcMar>
              <w:top w:w="12" w:type="dxa"/>
              <w:left w:w="12" w:type="dxa"/>
              <w:right w:w="12" w:type="dxa"/>
            </w:tcMar>
            <w:vAlign w:val="center"/>
          </w:tcPr>
          <w:p w14:paraId="153DEC1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0851B89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32</w:t>
            </w:r>
          </w:p>
        </w:tc>
        <w:tc>
          <w:tcPr>
            <w:tcW w:w="285" w:type="pct"/>
            <w:tcBorders>
              <w:tl2br w:val="nil"/>
              <w:tr2bl w:val="nil"/>
            </w:tcBorders>
            <w:shd w:val="clear" w:color="auto" w:fill="auto"/>
            <w:tcMar>
              <w:top w:w="12" w:type="dxa"/>
              <w:left w:w="12" w:type="dxa"/>
              <w:right w:w="12" w:type="dxa"/>
            </w:tcMar>
            <w:vAlign w:val="center"/>
          </w:tcPr>
          <w:p w14:paraId="279372C0">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16</w:t>
            </w:r>
          </w:p>
        </w:tc>
        <w:tc>
          <w:tcPr>
            <w:tcW w:w="301" w:type="pct"/>
            <w:tcBorders>
              <w:tl2br w:val="nil"/>
              <w:tr2bl w:val="nil"/>
            </w:tcBorders>
            <w:shd w:val="clear" w:color="auto" w:fill="auto"/>
            <w:tcMar>
              <w:top w:w="12" w:type="dxa"/>
              <w:left w:w="12" w:type="dxa"/>
              <w:right w:w="12" w:type="dxa"/>
            </w:tcMar>
            <w:vAlign w:val="center"/>
          </w:tcPr>
          <w:p w14:paraId="647E58E8">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16</w:t>
            </w:r>
          </w:p>
        </w:tc>
        <w:tc>
          <w:tcPr>
            <w:tcW w:w="295" w:type="pct"/>
            <w:tcBorders>
              <w:tl2br w:val="nil"/>
              <w:tr2bl w:val="nil"/>
            </w:tcBorders>
            <w:shd w:val="clear" w:color="auto" w:fill="auto"/>
            <w:tcMar>
              <w:top w:w="12" w:type="dxa"/>
              <w:left w:w="12" w:type="dxa"/>
              <w:right w:w="12" w:type="dxa"/>
            </w:tcMar>
            <w:vAlign w:val="center"/>
          </w:tcPr>
          <w:p w14:paraId="3B88C75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6E89936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6D4E20B0">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470F55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59818B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061DE8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34102440">
            <w:pPr>
              <w:adjustRightInd w:val="0"/>
              <w:snapToGrid w:val="0"/>
              <w:jc w:val="center"/>
              <w:rPr>
                <w:rFonts w:hint="default" w:ascii="Times New Roman" w:hAnsi="Times New Roman" w:cs="宋体"/>
                <w:bCs/>
                <w:sz w:val="17"/>
                <w:szCs w:val="17"/>
                <w:lang w:val="en-US" w:eastAsia="zh-CN"/>
              </w:rPr>
            </w:pPr>
            <w:r>
              <w:rPr>
                <w:rFonts w:hint="default" w:ascii="Times New Roman" w:hAnsi="Times New Roman" w:cs="宋体"/>
                <w:bCs/>
                <w:sz w:val="17"/>
                <w:szCs w:val="17"/>
                <w:lang w:val="en-US" w:eastAsia="zh-CN"/>
              </w:rPr>
              <w:t>32</w:t>
            </w:r>
            <w:r>
              <w:rPr>
                <w:rFonts w:hint="eastAsia" w:ascii="Times New Roman" w:hAnsi="Times New Roman" w:cs="宋体"/>
                <w:bCs/>
                <w:sz w:val="17"/>
                <w:szCs w:val="17"/>
                <w:lang w:val="en-US" w:eastAsia="zh-CN"/>
              </w:rPr>
              <w:t>2</w:t>
            </w:r>
            <w:r>
              <w:rPr>
                <w:rFonts w:hint="default" w:ascii="Times New Roman" w:hAnsi="Times New Roman" w:cs="宋体"/>
                <w:bCs/>
                <w:sz w:val="17"/>
                <w:szCs w:val="17"/>
                <w:lang w:val="en-US" w:eastAsia="zh-CN"/>
              </w:rPr>
              <w:t>116200</w:t>
            </w:r>
            <w:r>
              <w:rPr>
                <w:rFonts w:hint="eastAsia" w:ascii="Times New Roman" w:hAnsi="Times New Roman" w:cs="宋体"/>
                <w:bCs/>
                <w:sz w:val="17"/>
                <w:szCs w:val="17"/>
                <w:lang w:val="en-US" w:eastAsia="zh-CN"/>
              </w:rPr>
              <w:t>2</w:t>
            </w:r>
          </w:p>
        </w:tc>
        <w:tc>
          <w:tcPr>
            <w:tcW w:w="1250" w:type="pct"/>
            <w:tcBorders>
              <w:tl2br w:val="nil"/>
              <w:tr2bl w:val="nil"/>
            </w:tcBorders>
            <w:shd w:val="clear" w:color="auto" w:fill="auto"/>
            <w:tcMar>
              <w:top w:w="12" w:type="dxa"/>
              <w:left w:w="12" w:type="dxa"/>
              <w:right w:w="12" w:type="dxa"/>
            </w:tcMar>
            <w:vAlign w:val="center"/>
          </w:tcPr>
          <w:p w14:paraId="52C8CF93">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国家</w:t>
            </w:r>
            <w:r>
              <w:rPr>
                <w:rFonts w:hint="default" w:ascii="Times New Roman" w:hAnsi="Times New Roman" w:eastAsia="宋体" w:cs="Times New Roman"/>
                <w:bCs/>
                <w:kern w:val="0"/>
                <w:sz w:val="17"/>
                <w:szCs w:val="17"/>
                <w:lang w:val="en-US" w:eastAsia="zh-CN" w:bidi="ar"/>
              </w:rPr>
              <w:t>安全教育</w:t>
            </w:r>
          </w:p>
          <w:p w14:paraId="670E905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National Security Education</w:t>
            </w:r>
          </w:p>
        </w:tc>
        <w:tc>
          <w:tcPr>
            <w:tcW w:w="306" w:type="pct"/>
            <w:tcBorders>
              <w:tl2br w:val="nil"/>
              <w:tr2bl w:val="nil"/>
            </w:tcBorders>
            <w:shd w:val="clear" w:color="auto" w:fill="auto"/>
            <w:tcMar>
              <w:top w:w="12" w:type="dxa"/>
              <w:left w:w="12" w:type="dxa"/>
              <w:right w:w="12" w:type="dxa"/>
            </w:tcMar>
            <w:vAlign w:val="center"/>
          </w:tcPr>
          <w:p w14:paraId="390434D9">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248" w:type="pct"/>
            <w:tcBorders>
              <w:tl2br w:val="nil"/>
              <w:tr2bl w:val="nil"/>
            </w:tcBorders>
            <w:shd w:val="clear" w:color="auto" w:fill="auto"/>
            <w:tcMar>
              <w:top w:w="12" w:type="dxa"/>
              <w:left w:w="12" w:type="dxa"/>
              <w:right w:w="12" w:type="dxa"/>
            </w:tcMar>
            <w:vAlign w:val="center"/>
          </w:tcPr>
          <w:p w14:paraId="426A92F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16</w:t>
            </w:r>
          </w:p>
        </w:tc>
        <w:tc>
          <w:tcPr>
            <w:tcW w:w="285" w:type="pct"/>
            <w:tcBorders>
              <w:tl2br w:val="nil"/>
              <w:tr2bl w:val="nil"/>
            </w:tcBorders>
            <w:shd w:val="clear" w:color="auto" w:fill="auto"/>
            <w:tcMar>
              <w:top w:w="12" w:type="dxa"/>
              <w:left w:w="12" w:type="dxa"/>
              <w:right w:w="12" w:type="dxa"/>
            </w:tcMar>
            <w:vAlign w:val="center"/>
          </w:tcPr>
          <w:p w14:paraId="46A61E4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16</w:t>
            </w:r>
          </w:p>
        </w:tc>
        <w:tc>
          <w:tcPr>
            <w:tcW w:w="301" w:type="pct"/>
            <w:tcBorders>
              <w:tl2br w:val="nil"/>
              <w:tr2bl w:val="nil"/>
            </w:tcBorders>
            <w:shd w:val="clear" w:color="auto" w:fill="auto"/>
            <w:tcMar>
              <w:top w:w="12" w:type="dxa"/>
              <w:left w:w="12" w:type="dxa"/>
              <w:right w:w="12" w:type="dxa"/>
            </w:tcMar>
            <w:vAlign w:val="center"/>
          </w:tcPr>
          <w:p w14:paraId="4C234D09">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6EBDA5E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621633F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7BF096A6">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3BF1E1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6A96C7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B6444A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71FE2524">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3221219001</w:t>
            </w:r>
          </w:p>
        </w:tc>
        <w:tc>
          <w:tcPr>
            <w:tcW w:w="1250" w:type="pct"/>
            <w:tcBorders>
              <w:tl2br w:val="nil"/>
              <w:tr2bl w:val="nil"/>
            </w:tcBorders>
            <w:shd w:val="clear" w:color="auto" w:fill="auto"/>
            <w:tcMar>
              <w:top w:w="12" w:type="dxa"/>
              <w:left w:w="12" w:type="dxa"/>
              <w:right w:w="12" w:type="dxa"/>
            </w:tcMar>
            <w:vAlign w:val="center"/>
          </w:tcPr>
          <w:p w14:paraId="4EF990E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大学生心理健康教育</w:t>
            </w:r>
          </w:p>
          <w:p w14:paraId="6EDA74D0">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Psychological Health Education of College Students</w:t>
            </w:r>
          </w:p>
        </w:tc>
        <w:tc>
          <w:tcPr>
            <w:tcW w:w="306" w:type="pct"/>
            <w:tcBorders>
              <w:tl2br w:val="nil"/>
              <w:tr2bl w:val="nil"/>
            </w:tcBorders>
            <w:shd w:val="clear" w:color="auto" w:fill="auto"/>
            <w:tcMar>
              <w:top w:w="12" w:type="dxa"/>
              <w:left w:w="12" w:type="dxa"/>
              <w:right w:w="12" w:type="dxa"/>
            </w:tcMar>
            <w:vAlign w:val="center"/>
          </w:tcPr>
          <w:p w14:paraId="22C1C429">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3BC3075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32</w:t>
            </w:r>
          </w:p>
        </w:tc>
        <w:tc>
          <w:tcPr>
            <w:tcW w:w="285" w:type="pct"/>
            <w:tcBorders>
              <w:tl2br w:val="nil"/>
              <w:tr2bl w:val="nil"/>
            </w:tcBorders>
            <w:shd w:val="clear" w:color="auto" w:fill="auto"/>
            <w:tcMar>
              <w:top w:w="12" w:type="dxa"/>
              <w:left w:w="12" w:type="dxa"/>
              <w:right w:w="12" w:type="dxa"/>
            </w:tcMar>
            <w:vAlign w:val="center"/>
          </w:tcPr>
          <w:p w14:paraId="7D13E3F1">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32</w:t>
            </w:r>
          </w:p>
        </w:tc>
        <w:tc>
          <w:tcPr>
            <w:tcW w:w="301" w:type="pct"/>
            <w:tcBorders>
              <w:tl2br w:val="nil"/>
              <w:tr2bl w:val="nil"/>
            </w:tcBorders>
            <w:shd w:val="clear" w:color="auto" w:fill="auto"/>
            <w:tcMar>
              <w:top w:w="12" w:type="dxa"/>
              <w:left w:w="12" w:type="dxa"/>
              <w:right w:w="12" w:type="dxa"/>
            </w:tcMar>
            <w:vAlign w:val="center"/>
          </w:tcPr>
          <w:p w14:paraId="3558EE58">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743000A6">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4F304716">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097E3E1F">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370E95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77217D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F1F0DE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6912E242">
            <w:pPr>
              <w:adjustRightInd w:val="0"/>
              <w:snapToGrid w:val="0"/>
              <w:jc w:val="center"/>
              <w:rPr>
                <w:rFonts w:hint="default" w:ascii="Times New Roman" w:hAnsi="Times New Roman" w:cs="宋体"/>
                <w:bCs/>
                <w:sz w:val="17"/>
                <w:szCs w:val="17"/>
                <w:lang w:val="en-US" w:eastAsia="zh-CN"/>
              </w:rPr>
            </w:pPr>
            <w:r>
              <w:rPr>
                <w:rFonts w:hint="eastAsia" w:ascii="Times New Roman" w:hAnsi="Times New Roman" w:cs="宋体"/>
                <w:bCs/>
                <w:sz w:val="17"/>
                <w:szCs w:val="17"/>
              </w:rPr>
              <w:t>3221484001</w:t>
            </w:r>
          </w:p>
        </w:tc>
        <w:tc>
          <w:tcPr>
            <w:tcW w:w="1250" w:type="pct"/>
            <w:tcBorders>
              <w:tl2br w:val="nil"/>
              <w:tr2bl w:val="nil"/>
            </w:tcBorders>
            <w:shd w:val="clear" w:color="auto" w:fill="auto"/>
            <w:tcMar>
              <w:top w:w="12" w:type="dxa"/>
              <w:left w:w="12" w:type="dxa"/>
              <w:right w:w="12" w:type="dxa"/>
            </w:tcMar>
            <w:vAlign w:val="center"/>
          </w:tcPr>
          <w:p w14:paraId="53DE611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劳动教育</w:t>
            </w:r>
          </w:p>
          <w:p w14:paraId="144D4D50">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Labor Education</w:t>
            </w:r>
          </w:p>
        </w:tc>
        <w:tc>
          <w:tcPr>
            <w:tcW w:w="306" w:type="pct"/>
            <w:tcBorders>
              <w:tl2br w:val="nil"/>
              <w:tr2bl w:val="nil"/>
            </w:tcBorders>
            <w:shd w:val="clear" w:color="auto" w:fill="auto"/>
            <w:tcMar>
              <w:top w:w="12" w:type="dxa"/>
              <w:left w:w="12" w:type="dxa"/>
              <w:right w:w="12" w:type="dxa"/>
            </w:tcMar>
            <w:vAlign w:val="center"/>
          </w:tcPr>
          <w:p w14:paraId="1DA984B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248" w:type="pct"/>
            <w:tcBorders>
              <w:tl2br w:val="nil"/>
              <w:tr2bl w:val="nil"/>
            </w:tcBorders>
            <w:shd w:val="clear" w:color="auto" w:fill="auto"/>
            <w:tcMar>
              <w:top w:w="12" w:type="dxa"/>
              <w:left w:w="12" w:type="dxa"/>
              <w:right w:w="12" w:type="dxa"/>
            </w:tcMar>
            <w:vAlign w:val="center"/>
          </w:tcPr>
          <w:p w14:paraId="3529D2E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16</w:t>
            </w:r>
          </w:p>
        </w:tc>
        <w:tc>
          <w:tcPr>
            <w:tcW w:w="285" w:type="pct"/>
            <w:tcBorders>
              <w:tl2br w:val="nil"/>
              <w:tr2bl w:val="nil"/>
            </w:tcBorders>
            <w:shd w:val="clear" w:color="auto" w:fill="auto"/>
            <w:tcMar>
              <w:top w:w="12" w:type="dxa"/>
              <w:left w:w="12" w:type="dxa"/>
              <w:right w:w="12" w:type="dxa"/>
            </w:tcMar>
            <w:vAlign w:val="center"/>
          </w:tcPr>
          <w:p w14:paraId="5BE998E9">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8</w:t>
            </w:r>
          </w:p>
        </w:tc>
        <w:tc>
          <w:tcPr>
            <w:tcW w:w="301" w:type="pct"/>
            <w:tcBorders>
              <w:tl2br w:val="nil"/>
              <w:tr2bl w:val="nil"/>
            </w:tcBorders>
            <w:shd w:val="clear" w:color="auto" w:fill="auto"/>
            <w:tcMar>
              <w:top w:w="12" w:type="dxa"/>
              <w:left w:w="12" w:type="dxa"/>
              <w:right w:w="12" w:type="dxa"/>
            </w:tcMar>
            <w:vAlign w:val="center"/>
          </w:tcPr>
          <w:p w14:paraId="105429A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25569FCE">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2C5F5B8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79C727E7">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7611F7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1FF2A7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C211BF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895" w:type="pct"/>
            <w:gridSpan w:val="2"/>
            <w:tcBorders>
              <w:tl2br w:val="nil"/>
              <w:tr2bl w:val="nil"/>
            </w:tcBorders>
            <w:shd w:val="clear" w:color="auto" w:fill="auto"/>
            <w:tcMar>
              <w:top w:w="12" w:type="dxa"/>
              <w:left w:w="12" w:type="dxa"/>
              <w:right w:w="12" w:type="dxa"/>
            </w:tcMar>
            <w:vAlign w:val="center"/>
          </w:tcPr>
          <w:p w14:paraId="62595A2D">
            <w:pPr>
              <w:adjustRightInd w:val="0"/>
              <w:spacing w:line="200" w:lineRule="exact"/>
              <w:jc w:val="center"/>
              <w:rPr>
                <w:rFonts w:hint="default" w:ascii="Times New Roman" w:hAnsi="Times New Roman" w:cs="Times New Roman"/>
                <w:b/>
                <w:bCs w:val="0"/>
                <w:kern w:val="0"/>
                <w:sz w:val="17"/>
                <w:szCs w:val="17"/>
                <w:highlight w:val="yellow"/>
                <w:lang w:val="en-US" w:eastAsia="zh-CN"/>
              </w:rPr>
            </w:pPr>
            <w:r>
              <w:rPr>
                <w:rFonts w:hint="default" w:ascii="Times New Roman" w:hAnsi="Times New Roman" w:cs="Times New Roman"/>
                <w:b/>
                <w:bCs w:val="0"/>
                <w:kern w:val="0"/>
                <w:sz w:val="17"/>
                <w:szCs w:val="17"/>
                <w:highlight w:val="none"/>
                <w:lang w:val="en-US" w:eastAsia="zh-CN"/>
              </w:rPr>
              <w:t>合计</w:t>
            </w:r>
          </w:p>
        </w:tc>
        <w:tc>
          <w:tcPr>
            <w:tcW w:w="306" w:type="pct"/>
            <w:tcBorders>
              <w:tl2br w:val="nil"/>
              <w:tr2bl w:val="nil"/>
            </w:tcBorders>
            <w:shd w:val="clear" w:color="auto" w:fill="auto"/>
            <w:tcMar>
              <w:top w:w="12" w:type="dxa"/>
              <w:left w:w="12" w:type="dxa"/>
              <w:right w:w="12" w:type="dxa"/>
            </w:tcMar>
            <w:vAlign w:val="center"/>
          </w:tcPr>
          <w:p w14:paraId="77EA8251">
            <w:pPr>
              <w:widowControl/>
              <w:jc w:val="center"/>
              <w:textAlignment w:val="center"/>
              <w:rPr>
                <w:rFonts w:hint="default" w:ascii="Times New Roman" w:hAnsi="Times New Roman" w:cs="Times New Roman"/>
                <w:b/>
                <w:bCs w:val="0"/>
                <w:kern w:val="0"/>
                <w:sz w:val="17"/>
                <w:szCs w:val="17"/>
                <w:highlight w:val="yellow"/>
                <w:lang w:val="en-US" w:eastAsia="zh-CN"/>
              </w:rPr>
            </w:pPr>
            <w:r>
              <w:rPr>
                <w:rFonts w:hint="eastAsia" w:ascii="Times New Roman" w:hAnsi="Times New Roman" w:eastAsia="宋体" w:cs="Times New Roman"/>
                <w:b/>
                <w:bCs/>
                <w:color w:val="auto"/>
                <w:kern w:val="0"/>
                <w:sz w:val="18"/>
                <w:szCs w:val="18"/>
                <w:highlight w:val="none"/>
                <w:lang w:val="en-US" w:eastAsia="zh-CN" w:bidi="ar"/>
              </w:rPr>
              <w:t>43.5</w:t>
            </w:r>
          </w:p>
        </w:tc>
        <w:tc>
          <w:tcPr>
            <w:tcW w:w="248" w:type="pct"/>
            <w:tcBorders>
              <w:tl2br w:val="nil"/>
              <w:tr2bl w:val="nil"/>
            </w:tcBorders>
            <w:shd w:val="clear" w:color="auto" w:fill="auto"/>
            <w:tcMar>
              <w:top w:w="12" w:type="dxa"/>
              <w:left w:w="12" w:type="dxa"/>
              <w:right w:w="12" w:type="dxa"/>
            </w:tcMar>
            <w:vAlign w:val="center"/>
          </w:tcPr>
          <w:p w14:paraId="601971D2">
            <w:pPr>
              <w:widowControl/>
              <w:jc w:val="center"/>
              <w:textAlignment w:val="center"/>
              <w:rPr>
                <w:rFonts w:hint="default" w:ascii="Times New Roman" w:hAnsi="Times New Roman" w:cs="Times New Roman"/>
                <w:b/>
                <w:bCs w:val="0"/>
                <w:kern w:val="0"/>
                <w:sz w:val="17"/>
                <w:szCs w:val="17"/>
                <w:highlight w:val="yellow"/>
                <w:lang w:val="en-US" w:eastAsia="zh-CN"/>
              </w:rPr>
            </w:pPr>
            <w:r>
              <w:rPr>
                <w:rFonts w:hint="eastAsia" w:ascii="Times New Roman" w:hAnsi="Times New Roman" w:eastAsia="宋体" w:cs="Times New Roman"/>
                <w:b/>
                <w:bCs/>
                <w:color w:val="auto"/>
                <w:kern w:val="0"/>
                <w:sz w:val="18"/>
                <w:szCs w:val="18"/>
                <w:highlight w:val="none"/>
                <w:lang w:val="en-US" w:eastAsia="zh-CN" w:bidi="ar"/>
              </w:rPr>
              <w:t>876</w:t>
            </w:r>
          </w:p>
        </w:tc>
        <w:tc>
          <w:tcPr>
            <w:tcW w:w="285" w:type="pct"/>
            <w:tcBorders>
              <w:tl2br w:val="nil"/>
              <w:tr2bl w:val="nil"/>
            </w:tcBorders>
            <w:shd w:val="clear" w:color="auto" w:fill="auto"/>
            <w:tcMar>
              <w:top w:w="12" w:type="dxa"/>
              <w:left w:w="12" w:type="dxa"/>
              <w:right w:w="12" w:type="dxa"/>
            </w:tcMar>
            <w:vAlign w:val="center"/>
          </w:tcPr>
          <w:p w14:paraId="3423B605">
            <w:pPr>
              <w:widowControl/>
              <w:jc w:val="center"/>
              <w:textAlignment w:val="center"/>
              <w:rPr>
                <w:rFonts w:hint="default" w:ascii="Times New Roman" w:hAnsi="Times New Roman" w:cs="Times New Roman"/>
                <w:b/>
                <w:bCs w:val="0"/>
                <w:kern w:val="0"/>
                <w:sz w:val="17"/>
                <w:szCs w:val="17"/>
                <w:highlight w:val="yellow"/>
                <w:lang w:val="en-US" w:eastAsia="zh-CN"/>
              </w:rPr>
            </w:pPr>
            <w:r>
              <w:rPr>
                <w:rFonts w:hint="eastAsia" w:ascii="Times New Roman" w:hAnsi="Times New Roman" w:eastAsia="宋体" w:cs="Times New Roman"/>
                <w:b/>
                <w:bCs/>
                <w:color w:val="auto"/>
                <w:kern w:val="0"/>
                <w:sz w:val="18"/>
                <w:szCs w:val="18"/>
                <w:highlight w:val="none"/>
                <w:lang w:val="en-US" w:eastAsia="zh-CN" w:bidi="ar"/>
              </w:rPr>
              <w:t>584</w:t>
            </w:r>
          </w:p>
        </w:tc>
        <w:tc>
          <w:tcPr>
            <w:tcW w:w="301" w:type="pct"/>
            <w:tcBorders>
              <w:tl2br w:val="nil"/>
              <w:tr2bl w:val="nil"/>
            </w:tcBorders>
            <w:shd w:val="clear" w:color="auto" w:fill="auto"/>
            <w:tcMar>
              <w:top w:w="12" w:type="dxa"/>
              <w:left w:w="12" w:type="dxa"/>
              <w:right w:w="12" w:type="dxa"/>
            </w:tcMar>
            <w:vAlign w:val="center"/>
          </w:tcPr>
          <w:p w14:paraId="0A62944B">
            <w:pPr>
              <w:widowControl/>
              <w:jc w:val="center"/>
              <w:textAlignment w:val="center"/>
              <w:rPr>
                <w:rFonts w:hint="default" w:ascii="Times New Roman" w:hAnsi="Times New Roman" w:cs="Times New Roman"/>
                <w:b/>
                <w:bCs w:val="0"/>
                <w:kern w:val="0"/>
                <w:sz w:val="17"/>
                <w:szCs w:val="17"/>
                <w:highlight w:val="yellow"/>
                <w:lang w:val="en-US" w:eastAsia="zh-CN"/>
              </w:rPr>
            </w:pPr>
            <w:r>
              <w:rPr>
                <w:rFonts w:hint="eastAsia" w:ascii="Times New Roman" w:hAnsi="Times New Roman" w:eastAsia="宋体" w:cs="Times New Roman"/>
                <w:b/>
                <w:bCs/>
                <w:color w:val="auto"/>
                <w:kern w:val="0"/>
                <w:sz w:val="18"/>
                <w:szCs w:val="18"/>
                <w:highlight w:val="none"/>
                <w:lang w:val="en-US" w:eastAsia="zh-CN" w:bidi="ar"/>
              </w:rPr>
              <w:t>292</w:t>
            </w:r>
          </w:p>
        </w:tc>
        <w:tc>
          <w:tcPr>
            <w:tcW w:w="295" w:type="pct"/>
            <w:tcBorders>
              <w:tl2br w:val="nil"/>
              <w:tr2bl w:val="nil"/>
            </w:tcBorders>
            <w:shd w:val="clear" w:color="auto" w:fill="auto"/>
            <w:tcMar>
              <w:top w:w="12" w:type="dxa"/>
              <w:left w:w="12" w:type="dxa"/>
              <w:right w:w="12" w:type="dxa"/>
            </w:tcMar>
            <w:vAlign w:val="center"/>
          </w:tcPr>
          <w:p w14:paraId="6694E722">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611391C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811" w:type="pct"/>
            <w:tcBorders>
              <w:tl2br w:val="nil"/>
              <w:tr2bl w:val="nil"/>
            </w:tcBorders>
            <w:shd w:val="clear" w:color="auto" w:fill="auto"/>
            <w:tcMar>
              <w:top w:w="12" w:type="dxa"/>
              <w:left w:w="12" w:type="dxa"/>
              <w:right w:w="12" w:type="dxa"/>
            </w:tcMar>
            <w:vAlign w:val="center"/>
          </w:tcPr>
          <w:p w14:paraId="07E60B77">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014E94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73C438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restart"/>
            <w:tcBorders>
              <w:tl2br w:val="nil"/>
              <w:tr2bl w:val="nil"/>
            </w:tcBorders>
            <w:shd w:val="clear" w:color="auto" w:fill="auto"/>
            <w:tcMar>
              <w:top w:w="12" w:type="dxa"/>
              <w:left w:w="12" w:type="dxa"/>
              <w:right w:w="12" w:type="dxa"/>
            </w:tcMar>
            <w:vAlign w:val="center"/>
          </w:tcPr>
          <w:p w14:paraId="7C464EC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公共选修课程</w:t>
            </w:r>
          </w:p>
        </w:tc>
        <w:tc>
          <w:tcPr>
            <w:tcW w:w="1895" w:type="pct"/>
            <w:gridSpan w:val="2"/>
            <w:tcBorders>
              <w:tl2br w:val="nil"/>
              <w:tr2bl w:val="nil"/>
            </w:tcBorders>
            <w:shd w:val="clear" w:color="auto" w:fill="auto"/>
            <w:tcMar>
              <w:top w:w="12" w:type="dxa"/>
              <w:left w:w="12" w:type="dxa"/>
              <w:right w:w="12" w:type="dxa"/>
            </w:tcMar>
            <w:vAlign w:val="center"/>
          </w:tcPr>
          <w:p w14:paraId="11AAB338">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要求学生至少3学分，课程详见附件2</w:t>
            </w:r>
          </w:p>
        </w:tc>
        <w:tc>
          <w:tcPr>
            <w:tcW w:w="2575" w:type="pct"/>
            <w:gridSpan w:val="7"/>
            <w:tcBorders>
              <w:tl2br w:val="nil"/>
              <w:tr2bl w:val="nil"/>
            </w:tcBorders>
            <w:shd w:val="clear" w:color="auto" w:fill="auto"/>
            <w:tcMar>
              <w:top w:w="12" w:type="dxa"/>
              <w:left w:w="12" w:type="dxa"/>
              <w:right w:w="12" w:type="dxa"/>
            </w:tcMar>
            <w:vAlign w:val="center"/>
          </w:tcPr>
          <w:p w14:paraId="2A583548">
            <w:pPr>
              <w:adjustRightInd w:val="0"/>
              <w:spacing w:line="200" w:lineRule="exact"/>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除了艺术类专业，其他专业必选公共艺术类课程2学分，其他类型选修课选学1学分，一共选修3学分，列入最低毕业总学分；艺术类专业选修其他类型选修课3学分。共3学分。</w:t>
            </w:r>
          </w:p>
        </w:tc>
      </w:tr>
      <w:tr w14:paraId="01D66D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28EBB2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DB02E4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895" w:type="pct"/>
            <w:gridSpan w:val="2"/>
            <w:tcBorders>
              <w:tl2br w:val="nil"/>
              <w:tr2bl w:val="nil"/>
            </w:tcBorders>
            <w:shd w:val="clear" w:color="auto" w:fill="auto"/>
            <w:tcMar>
              <w:top w:w="12" w:type="dxa"/>
              <w:left w:w="12" w:type="dxa"/>
              <w:right w:w="12" w:type="dxa"/>
            </w:tcMar>
            <w:vAlign w:val="center"/>
          </w:tcPr>
          <w:p w14:paraId="4070253A">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306" w:type="pct"/>
            <w:tcBorders>
              <w:tl2br w:val="nil"/>
              <w:tr2bl w:val="nil"/>
            </w:tcBorders>
            <w:shd w:val="clear" w:color="auto" w:fill="auto"/>
            <w:tcMar>
              <w:top w:w="12" w:type="dxa"/>
              <w:left w:w="12" w:type="dxa"/>
              <w:right w:w="12" w:type="dxa"/>
            </w:tcMar>
            <w:vAlign w:val="center"/>
          </w:tcPr>
          <w:p w14:paraId="7D0BCFEB">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6B35FF9C">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1D84F18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48</w:t>
            </w:r>
          </w:p>
        </w:tc>
        <w:tc>
          <w:tcPr>
            <w:tcW w:w="301" w:type="pct"/>
            <w:tcBorders>
              <w:tl2br w:val="nil"/>
              <w:tr2bl w:val="nil"/>
            </w:tcBorders>
            <w:shd w:val="clear" w:color="auto" w:fill="auto"/>
            <w:tcMar>
              <w:top w:w="12" w:type="dxa"/>
              <w:left w:w="12" w:type="dxa"/>
              <w:right w:w="12" w:type="dxa"/>
            </w:tcMar>
            <w:vAlign w:val="center"/>
          </w:tcPr>
          <w:p w14:paraId="4F29DC47">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361C5E9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5916E88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811" w:type="pct"/>
            <w:tcBorders>
              <w:tl2br w:val="nil"/>
              <w:tr2bl w:val="nil"/>
            </w:tcBorders>
            <w:shd w:val="clear" w:color="auto" w:fill="auto"/>
            <w:tcMar>
              <w:top w:w="12" w:type="dxa"/>
              <w:left w:w="12" w:type="dxa"/>
              <w:right w:w="12" w:type="dxa"/>
            </w:tcMar>
            <w:vAlign w:val="center"/>
          </w:tcPr>
          <w:p w14:paraId="5270E7C8">
            <w:pPr>
              <w:adjustRightInd w:val="0"/>
              <w:spacing w:line="200" w:lineRule="exact"/>
              <w:jc w:val="center"/>
              <w:rPr>
                <w:rFonts w:hint="default" w:ascii="Times New Roman" w:hAnsi="Times New Roman" w:cs="Times New Roman"/>
                <w:bCs/>
                <w:kern w:val="0"/>
                <w:sz w:val="17"/>
                <w:szCs w:val="17"/>
                <w:highlight w:val="none"/>
                <w:lang w:val="en-US" w:eastAsia="zh-CN"/>
              </w:rPr>
            </w:pPr>
          </w:p>
        </w:tc>
      </w:tr>
      <w:tr w14:paraId="1F5E06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restart"/>
            <w:tcBorders>
              <w:tl2br w:val="nil"/>
              <w:tr2bl w:val="nil"/>
            </w:tcBorders>
            <w:shd w:val="clear" w:color="auto" w:fill="auto"/>
            <w:tcMar>
              <w:top w:w="12" w:type="dxa"/>
              <w:left w:w="12" w:type="dxa"/>
              <w:right w:w="12" w:type="dxa"/>
            </w:tcMar>
            <w:vAlign w:val="center"/>
          </w:tcPr>
          <w:p w14:paraId="4F6E403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专业教育</w:t>
            </w:r>
          </w:p>
        </w:tc>
        <w:tc>
          <w:tcPr>
            <w:tcW w:w="274" w:type="pct"/>
            <w:vMerge w:val="restart"/>
            <w:tcBorders>
              <w:tl2br w:val="nil"/>
              <w:tr2bl w:val="nil"/>
            </w:tcBorders>
            <w:shd w:val="clear" w:color="auto" w:fill="auto"/>
            <w:tcMar>
              <w:top w:w="12" w:type="dxa"/>
              <w:left w:w="12" w:type="dxa"/>
              <w:right w:w="12" w:type="dxa"/>
            </w:tcMar>
            <w:vAlign w:val="center"/>
          </w:tcPr>
          <w:p w14:paraId="7FC3E9C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16D3CAB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基础</w:t>
            </w:r>
          </w:p>
          <w:p w14:paraId="30259C5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课程</w:t>
            </w:r>
          </w:p>
        </w:tc>
        <w:tc>
          <w:tcPr>
            <w:tcW w:w="645" w:type="pct"/>
            <w:tcBorders>
              <w:tl2br w:val="nil"/>
              <w:tr2bl w:val="nil"/>
            </w:tcBorders>
            <w:shd w:val="clear" w:color="auto" w:fill="auto"/>
            <w:tcMar>
              <w:top w:w="12" w:type="dxa"/>
              <w:left w:w="12" w:type="dxa"/>
              <w:right w:w="12" w:type="dxa"/>
            </w:tcMar>
            <w:vAlign w:val="center"/>
          </w:tcPr>
          <w:p w14:paraId="14213ECF">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1224246001</w:t>
            </w:r>
          </w:p>
        </w:tc>
        <w:tc>
          <w:tcPr>
            <w:tcW w:w="1250" w:type="pct"/>
            <w:tcBorders>
              <w:tl2br w:val="nil"/>
              <w:tr2bl w:val="nil"/>
            </w:tcBorders>
            <w:shd w:val="clear" w:color="auto" w:fill="auto"/>
            <w:noWrap/>
            <w:tcMar>
              <w:top w:w="12" w:type="dxa"/>
              <w:left w:w="12" w:type="dxa"/>
              <w:right w:w="12" w:type="dxa"/>
            </w:tcMar>
            <w:vAlign w:val="center"/>
          </w:tcPr>
          <w:p w14:paraId="394A9BD1">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汽车机械制图</w:t>
            </w:r>
          </w:p>
          <w:p w14:paraId="4FB5453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Automotive Mechanical Drawing</w:t>
            </w:r>
          </w:p>
        </w:tc>
        <w:tc>
          <w:tcPr>
            <w:tcW w:w="306" w:type="pct"/>
            <w:tcBorders>
              <w:tl2br w:val="nil"/>
              <w:tr2bl w:val="nil"/>
            </w:tcBorders>
            <w:shd w:val="clear" w:color="auto" w:fill="auto"/>
            <w:tcMar>
              <w:top w:w="12" w:type="dxa"/>
              <w:left w:w="12" w:type="dxa"/>
              <w:right w:w="12" w:type="dxa"/>
            </w:tcMar>
            <w:vAlign w:val="center"/>
          </w:tcPr>
          <w:p w14:paraId="6210B888">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59870E66">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381F9A38">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32</w:t>
            </w:r>
          </w:p>
        </w:tc>
        <w:tc>
          <w:tcPr>
            <w:tcW w:w="301" w:type="pct"/>
            <w:tcBorders>
              <w:tl2br w:val="nil"/>
              <w:tr2bl w:val="nil"/>
            </w:tcBorders>
            <w:shd w:val="clear" w:color="auto" w:fill="auto"/>
            <w:noWrap/>
            <w:tcMar>
              <w:top w:w="12" w:type="dxa"/>
              <w:left w:w="12" w:type="dxa"/>
              <w:right w:w="12" w:type="dxa"/>
            </w:tcMar>
            <w:vAlign w:val="center"/>
          </w:tcPr>
          <w:p w14:paraId="09ABA9AA">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16</w:t>
            </w:r>
          </w:p>
        </w:tc>
        <w:tc>
          <w:tcPr>
            <w:tcW w:w="295" w:type="pct"/>
            <w:tcBorders>
              <w:tl2br w:val="nil"/>
              <w:tr2bl w:val="nil"/>
            </w:tcBorders>
            <w:shd w:val="clear" w:color="auto" w:fill="auto"/>
            <w:noWrap/>
            <w:tcMar>
              <w:top w:w="12" w:type="dxa"/>
              <w:left w:w="12" w:type="dxa"/>
              <w:right w:w="12" w:type="dxa"/>
            </w:tcMar>
            <w:vAlign w:val="center"/>
          </w:tcPr>
          <w:p w14:paraId="2F8AC79D">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考试</w:t>
            </w:r>
          </w:p>
        </w:tc>
        <w:tc>
          <w:tcPr>
            <w:tcW w:w="327" w:type="pct"/>
            <w:tcBorders>
              <w:tl2br w:val="nil"/>
              <w:tr2bl w:val="nil"/>
            </w:tcBorders>
            <w:shd w:val="clear" w:color="auto" w:fill="auto"/>
            <w:noWrap/>
            <w:tcMar>
              <w:top w:w="12" w:type="dxa"/>
              <w:left w:w="12" w:type="dxa"/>
              <w:right w:w="12" w:type="dxa"/>
            </w:tcMar>
            <w:vAlign w:val="center"/>
          </w:tcPr>
          <w:p w14:paraId="3E06539C">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w:t>
            </w:r>
          </w:p>
        </w:tc>
        <w:tc>
          <w:tcPr>
            <w:tcW w:w="811" w:type="pct"/>
            <w:tcBorders>
              <w:tl2br w:val="nil"/>
              <w:tr2bl w:val="nil"/>
            </w:tcBorders>
            <w:shd w:val="clear" w:color="auto" w:fill="auto"/>
            <w:noWrap/>
            <w:tcMar>
              <w:top w:w="12" w:type="dxa"/>
              <w:left w:w="12" w:type="dxa"/>
              <w:right w:w="12" w:type="dxa"/>
            </w:tcMar>
            <w:vAlign w:val="center"/>
          </w:tcPr>
          <w:p w14:paraId="569304AE">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p>
        </w:tc>
      </w:tr>
      <w:tr w14:paraId="4BE6A1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FDE0F5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11037E4">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FFFFFF"/>
            <w:tcMar>
              <w:top w:w="12" w:type="dxa"/>
              <w:left w:w="12" w:type="dxa"/>
              <w:right w:w="12" w:type="dxa"/>
            </w:tcMar>
            <w:vAlign w:val="center"/>
          </w:tcPr>
          <w:p w14:paraId="79ECD359">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1224246002</w:t>
            </w:r>
          </w:p>
        </w:tc>
        <w:tc>
          <w:tcPr>
            <w:tcW w:w="1250" w:type="pct"/>
            <w:tcBorders>
              <w:tl2br w:val="nil"/>
              <w:tr2bl w:val="nil"/>
            </w:tcBorders>
            <w:shd w:val="clear" w:color="auto" w:fill="auto"/>
            <w:tcMar>
              <w:top w:w="12" w:type="dxa"/>
              <w:left w:w="12" w:type="dxa"/>
              <w:right w:w="12" w:type="dxa"/>
            </w:tcMar>
            <w:vAlign w:val="center"/>
          </w:tcPr>
          <w:p w14:paraId="18888746">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汽车机械基础</w:t>
            </w:r>
          </w:p>
          <w:p w14:paraId="3A98C864">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Fundamentals of Automobile Machinery</w:t>
            </w:r>
          </w:p>
        </w:tc>
        <w:tc>
          <w:tcPr>
            <w:tcW w:w="306" w:type="pct"/>
            <w:tcBorders>
              <w:tl2br w:val="nil"/>
              <w:tr2bl w:val="nil"/>
            </w:tcBorders>
            <w:shd w:val="clear" w:color="auto" w:fill="auto"/>
            <w:tcMar>
              <w:top w:w="12" w:type="dxa"/>
              <w:left w:w="12" w:type="dxa"/>
              <w:right w:w="12" w:type="dxa"/>
            </w:tcMar>
            <w:vAlign w:val="center"/>
          </w:tcPr>
          <w:p w14:paraId="747CB2A7">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248" w:type="pct"/>
            <w:tcBorders>
              <w:tl2br w:val="nil"/>
              <w:tr2bl w:val="nil"/>
            </w:tcBorders>
            <w:shd w:val="clear" w:color="auto" w:fill="auto"/>
            <w:tcMar>
              <w:top w:w="12" w:type="dxa"/>
              <w:left w:w="12" w:type="dxa"/>
              <w:right w:w="12" w:type="dxa"/>
            </w:tcMar>
            <w:vAlign w:val="center"/>
          </w:tcPr>
          <w:p w14:paraId="2AA61DB0">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48</w:t>
            </w:r>
          </w:p>
        </w:tc>
        <w:tc>
          <w:tcPr>
            <w:tcW w:w="285" w:type="pct"/>
            <w:tcBorders>
              <w:tl2br w:val="nil"/>
              <w:tr2bl w:val="nil"/>
            </w:tcBorders>
            <w:shd w:val="clear" w:color="auto" w:fill="auto"/>
            <w:tcMar>
              <w:top w:w="12" w:type="dxa"/>
              <w:left w:w="12" w:type="dxa"/>
              <w:right w:w="12" w:type="dxa"/>
            </w:tcMar>
            <w:vAlign w:val="center"/>
          </w:tcPr>
          <w:p w14:paraId="18F7D587">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40</w:t>
            </w:r>
          </w:p>
        </w:tc>
        <w:tc>
          <w:tcPr>
            <w:tcW w:w="301" w:type="pct"/>
            <w:tcBorders>
              <w:tl2br w:val="nil"/>
              <w:tr2bl w:val="nil"/>
            </w:tcBorders>
            <w:shd w:val="clear" w:color="auto" w:fill="auto"/>
            <w:tcMar>
              <w:top w:w="12" w:type="dxa"/>
              <w:left w:w="12" w:type="dxa"/>
              <w:right w:w="12" w:type="dxa"/>
            </w:tcMar>
            <w:vAlign w:val="center"/>
          </w:tcPr>
          <w:p w14:paraId="4EC2AE81">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12E29F07">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w:t>
            </w:r>
            <w:r>
              <w:rPr>
                <w:rFonts w:hint="eastAsia" w:asciiTheme="minorEastAsia" w:hAnsiTheme="minorEastAsia" w:eastAsiaTheme="minorEastAsia" w:cstheme="minorEastAsia"/>
                <w:color w:val="auto"/>
                <w:sz w:val="17"/>
                <w:szCs w:val="17"/>
                <w:lang w:val="en-US" w:eastAsia="zh-CN"/>
              </w:rPr>
              <w:t>查</w:t>
            </w:r>
          </w:p>
        </w:tc>
        <w:tc>
          <w:tcPr>
            <w:tcW w:w="327" w:type="pct"/>
            <w:tcBorders>
              <w:tl2br w:val="nil"/>
              <w:tr2bl w:val="nil"/>
            </w:tcBorders>
            <w:shd w:val="clear" w:color="auto" w:fill="auto"/>
            <w:tcMar>
              <w:top w:w="12" w:type="dxa"/>
              <w:left w:w="12" w:type="dxa"/>
              <w:right w:w="12" w:type="dxa"/>
            </w:tcMar>
            <w:vAlign w:val="center"/>
          </w:tcPr>
          <w:p w14:paraId="117D645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w:t>
            </w:r>
          </w:p>
        </w:tc>
        <w:tc>
          <w:tcPr>
            <w:tcW w:w="811" w:type="pct"/>
            <w:tcBorders>
              <w:tl2br w:val="nil"/>
              <w:tr2bl w:val="nil"/>
            </w:tcBorders>
            <w:shd w:val="clear" w:color="auto" w:fill="auto"/>
            <w:tcMar>
              <w:top w:w="12" w:type="dxa"/>
              <w:left w:w="12" w:type="dxa"/>
              <w:right w:w="12" w:type="dxa"/>
            </w:tcMar>
            <w:vAlign w:val="center"/>
          </w:tcPr>
          <w:p w14:paraId="0C6FCD3B">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p>
        </w:tc>
      </w:tr>
      <w:tr w14:paraId="6B5928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9C9F4D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E2F0B5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E264355">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1224246010</w:t>
            </w:r>
          </w:p>
        </w:tc>
        <w:tc>
          <w:tcPr>
            <w:tcW w:w="1250" w:type="pct"/>
            <w:tcBorders>
              <w:tl2br w:val="nil"/>
              <w:tr2bl w:val="nil"/>
            </w:tcBorders>
            <w:shd w:val="clear" w:color="auto" w:fill="auto"/>
            <w:noWrap/>
            <w:tcMar>
              <w:top w:w="12" w:type="dxa"/>
              <w:left w:w="12" w:type="dxa"/>
              <w:right w:w="12" w:type="dxa"/>
            </w:tcMar>
            <w:vAlign w:val="center"/>
          </w:tcPr>
          <w:p w14:paraId="0CC6C21C">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bidi="ar"/>
              </w:rPr>
              <w:t>汽车电路</w:t>
            </w:r>
            <w:r>
              <w:rPr>
                <w:rFonts w:hint="eastAsia" w:ascii="Times New Roman" w:hAnsi="Times New Roman" w:eastAsia="宋体" w:cs="Times New Roman"/>
                <w:bCs/>
                <w:kern w:val="0"/>
                <w:sz w:val="17"/>
                <w:szCs w:val="17"/>
                <w:lang w:val="en-US" w:eastAsia="zh-CN" w:bidi="ar"/>
              </w:rPr>
              <w:t>识图</w:t>
            </w:r>
          </w:p>
          <w:p w14:paraId="688E96CB">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Automobile circuit diagram reading</w:t>
            </w:r>
          </w:p>
        </w:tc>
        <w:tc>
          <w:tcPr>
            <w:tcW w:w="306" w:type="pct"/>
            <w:tcBorders>
              <w:tl2br w:val="nil"/>
              <w:tr2bl w:val="nil"/>
            </w:tcBorders>
            <w:shd w:val="clear" w:color="auto" w:fill="auto"/>
            <w:tcMar>
              <w:top w:w="12" w:type="dxa"/>
              <w:left w:w="12" w:type="dxa"/>
              <w:right w:w="12" w:type="dxa"/>
            </w:tcMar>
            <w:vAlign w:val="center"/>
          </w:tcPr>
          <w:p w14:paraId="514207C6">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177EC51D">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32</w:t>
            </w:r>
          </w:p>
        </w:tc>
        <w:tc>
          <w:tcPr>
            <w:tcW w:w="285" w:type="pct"/>
            <w:tcBorders>
              <w:tl2br w:val="nil"/>
              <w:tr2bl w:val="nil"/>
            </w:tcBorders>
            <w:shd w:val="clear" w:color="auto" w:fill="auto"/>
            <w:tcMar>
              <w:top w:w="12" w:type="dxa"/>
              <w:left w:w="12" w:type="dxa"/>
              <w:right w:w="12" w:type="dxa"/>
            </w:tcMar>
            <w:vAlign w:val="center"/>
          </w:tcPr>
          <w:p w14:paraId="7A86D647">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24</w:t>
            </w:r>
          </w:p>
        </w:tc>
        <w:tc>
          <w:tcPr>
            <w:tcW w:w="301" w:type="pct"/>
            <w:tcBorders>
              <w:tl2br w:val="nil"/>
              <w:tr2bl w:val="nil"/>
            </w:tcBorders>
            <w:shd w:val="clear" w:color="auto" w:fill="auto"/>
            <w:tcMar>
              <w:top w:w="12" w:type="dxa"/>
              <w:left w:w="12" w:type="dxa"/>
              <w:right w:w="12" w:type="dxa"/>
            </w:tcMar>
            <w:vAlign w:val="center"/>
          </w:tcPr>
          <w:p w14:paraId="707E28DA">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49EB94A1">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考试</w:t>
            </w:r>
          </w:p>
        </w:tc>
        <w:tc>
          <w:tcPr>
            <w:tcW w:w="327" w:type="pct"/>
            <w:tcBorders>
              <w:tl2br w:val="nil"/>
              <w:tr2bl w:val="nil"/>
            </w:tcBorders>
            <w:shd w:val="clear" w:color="auto" w:fill="auto"/>
            <w:tcMar>
              <w:top w:w="12" w:type="dxa"/>
              <w:left w:w="12" w:type="dxa"/>
              <w:right w:w="12" w:type="dxa"/>
            </w:tcMar>
            <w:vAlign w:val="center"/>
          </w:tcPr>
          <w:p w14:paraId="4F7EE1C0">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w:t>
            </w:r>
          </w:p>
        </w:tc>
        <w:tc>
          <w:tcPr>
            <w:tcW w:w="811" w:type="pct"/>
            <w:tcBorders>
              <w:tl2br w:val="nil"/>
              <w:tr2bl w:val="nil"/>
            </w:tcBorders>
            <w:shd w:val="clear" w:color="auto" w:fill="auto"/>
            <w:tcMar>
              <w:top w:w="12" w:type="dxa"/>
              <w:left w:w="12" w:type="dxa"/>
              <w:right w:w="12" w:type="dxa"/>
            </w:tcMar>
            <w:vAlign w:val="center"/>
          </w:tcPr>
          <w:p w14:paraId="5822D6F5">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p>
        </w:tc>
      </w:tr>
      <w:tr w14:paraId="3707AC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BA039A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4A9051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A324764">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1225246011</w:t>
            </w:r>
          </w:p>
        </w:tc>
        <w:tc>
          <w:tcPr>
            <w:tcW w:w="1250" w:type="pct"/>
            <w:tcBorders>
              <w:tl2br w:val="nil"/>
              <w:tr2bl w:val="nil"/>
            </w:tcBorders>
            <w:shd w:val="clear" w:color="auto" w:fill="auto"/>
            <w:noWrap/>
            <w:tcMar>
              <w:top w:w="12" w:type="dxa"/>
              <w:left w:w="12" w:type="dxa"/>
              <w:right w:w="12" w:type="dxa"/>
            </w:tcMar>
            <w:vAlign w:val="center"/>
          </w:tcPr>
          <w:p w14:paraId="3E5AA7B5">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汽车使用与维护</w:t>
            </w:r>
          </w:p>
          <w:p w14:paraId="6E66437A">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Automobile usage and maintenance</w:t>
            </w:r>
          </w:p>
        </w:tc>
        <w:tc>
          <w:tcPr>
            <w:tcW w:w="306" w:type="pct"/>
            <w:tcBorders>
              <w:tl2br w:val="nil"/>
              <w:tr2bl w:val="nil"/>
            </w:tcBorders>
            <w:shd w:val="clear" w:color="auto" w:fill="auto"/>
            <w:tcMar>
              <w:top w:w="12" w:type="dxa"/>
              <w:left w:w="12" w:type="dxa"/>
              <w:right w:w="12" w:type="dxa"/>
            </w:tcMar>
            <w:vAlign w:val="center"/>
          </w:tcPr>
          <w:p w14:paraId="0835A1EF">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52C6E365">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79380909">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40</w:t>
            </w:r>
          </w:p>
        </w:tc>
        <w:tc>
          <w:tcPr>
            <w:tcW w:w="301" w:type="pct"/>
            <w:tcBorders>
              <w:tl2br w:val="nil"/>
              <w:tr2bl w:val="nil"/>
            </w:tcBorders>
            <w:shd w:val="clear" w:color="auto" w:fill="auto"/>
            <w:tcMar>
              <w:top w:w="12" w:type="dxa"/>
              <w:left w:w="12" w:type="dxa"/>
              <w:right w:w="12" w:type="dxa"/>
            </w:tcMar>
            <w:vAlign w:val="center"/>
          </w:tcPr>
          <w:p w14:paraId="1C98349A">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3499DC7D">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18CF5E0C">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236437D8">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p>
        </w:tc>
      </w:tr>
      <w:tr w14:paraId="40F01C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37135B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39F2C7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18D2140">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1224546008</w:t>
            </w:r>
          </w:p>
        </w:tc>
        <w:tc>
          <w:tcPr>
            <w:tcW w:w="1250" w:type="pct"/>
            <w:tcBorders>
              <w:tl2br w:val="nil"/>
              <w:tr2bl w:val="nil"/>
            </w:tcBorders>
            <w:shd w:val="clear" w:color="auto" w:fill="auto"/>
            <w:noWrap/>
            <w:tcMar>
              <w:top w:w="12" w:type="dxa"/>
              <w:left w:w="12" w:type="dxa"/>
              <w:right w:w="12" w:type="dxa"/>
            </w:tcMar>
            <w:vAlign w:val="center"/>
          </w:tcPr>
          <w:p w14:paraId="1E022919">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汽车拆装实训</w:t>
            </w:r>
          </w:p>
          <w:p w14:paraId="372C399B">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Car Disassembly and Installation </w:t>
            </w:r>
          </w:p>
        </w:tc>
        <w:tc>
          <w:tcPr>
            <w:tcW w:w="306" w:type="pct"/>
            <w:tcBorders>
              <w:tl2br w:val="nil"/>
              <w:tr2bl w:val="nil"/>
            </w:tcBorders>
            <w:shd w:val="clear" w:color="auto" w:fill="auto"/>
            <w:tcMar>
              <w:top w:w="12" w:type="dxa"/>
              <w:left w:w="12" w:type="dxa"/>
              <w:right w:w="12" w:type="dxa"/>
            </w:tcMar>
            <w:vAlign w:val="center"/>
          </w:tcPr>
          <w:p w14:paraId="2955C972">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w:t>
            </w:r>
          </w:p>
        </w:tc>
        <w:tc>
          <w:tcPr>
            <w:tcW w:w="248" w:type="pct"/>
            <w:tcBorders>
              <w:tl2br w:val="nil"/>
              <w:tr2bl w:val="nil"/>
            </w:tcBorders>
            <w:shd w:val="clear" w:color="auto" w:fill="auto"/>
            <w:tcMar>
              <w:top w:w="12" w:type="dxa"/>
              <w:left w:w="12" w:type="dxa"/>
              <w:right w:w="12" w:type="dxa"/>
            </w:tcMar>
            <w:vAlign w:val="center"/>
          </w:tcPr>
          <w:p w14:paraId="6D1B1AC2">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85" w:type="pct"/>
            <w:tcBorders>
              <w:tl2br w:val="nil"/>
              <w:tr2bl w:val="nil"/>
            </w:tcBorders>
            <w:shd w:val="clear" w:color="auto" w:fill="auto"/>
            <w:tcMar>
              <w:top w:w="12" w:type="dxa"/>
              <w:left w:w="12" w:type="dxa"/>
              <w:right w:w="12" w:type="dxa"/>
            </w:tcMar>
            <w:vAlign w:val="center"/>
          </w:tcPr>
          <w:p w14:paraId="4C0AA890">
            <w:pPr>
              <w:widowControl/>
              <w:jc w:val="center"/>
              <w:textAlignment w:val="bottom"/>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4B261548">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95" w:type="pct"/>
            <w:tcBorders>
              <w:tl2br w:val="nil"/>
              <w:tr2bl w:val="nil"/>
            </w:tcBorders>
            <w:shd w:val="clear" w:color="auto" w:fill="auto"/>
            <w:tcMar>
              <w:top w:w="12" w:type="dxa"/>
              <w:left w:w="12" w:type="dxa"/>
              <w:right w:w="12" w:type="dxa"/>
            </w:tcMar>
            <w:vAlign w:val="center"/>
          </w:tcPr>
          <w:p w14:paraId="568C5D0A">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15544C31">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45A585A5">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p>
        </w:tc>
      </w:tr>
      <w:tr w14:paraId="30B6CE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FCDA15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E11C5F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895" w:type="pct"/>
            <w:gridSpan w:val="2"/>
            <w:tcBorders>
              <w:tl2br w:val="nil"/>
              <w:tr2bl w:val="nil"/>
            </w:tcBorders>
            <w:shd w:val="clear" w:color="auto" w:fill="auto"/>
            <w:tcMar>
              <w:top w:w="12" w:type="dxa"/>
              <w:left w:w="12" w:type="dxa"/>
              <w:right w:w="12" w:type="dxa"/>
            </w:tcMar>
            <w:vAlign w:val="center"/>
          </w:tcPr>
          <w:p w14:paraId="203E337B">
            <w:pPr>
              <w:adjustRightInd w:val="0"/>
              <w:spacing w:line="200" w:lineRule="exact"/>
              <w:jc w:val="center"/>
              <w:rPr>
                <w:rFonts w:hint="eastAsia" w:asciiTheme="minorEastAsia" w:hAnsiTheme="minorEastAsia" w:eastAsiaTheme="minorEastAsia" w:cstheme="minorEastAsia"/>
                <w:b/>
                <w:bCs w:val="0"/>
                <w:kern w:val="0"/>
                <w:sz w:val="17"/>
                <w:szCs w:val="17"/>
                <w:highlight w:val="none"/>
                <w:lang w:val="en-US" w:eastAsia="zh-CN"/>
              </w:rPr>
            </w:pPr>
            <w:r>
              <w:rPr>
                <w:rFonts w:hint="eastAsia" w:asciiTheme="minorEastAsia" w:hAnsiTheme="minorEastAsia" w:eastAsiaTheme="minorEastAsia" w:cstheme="minorEastAsia"/>
                <w:b/>
                <w:bCs w:val="0"/>
                <w:kern w:val="0"/>
                <w:sz w:val="17"/>
                <w:szCs w:val="17"/>
                <w:highlight w:val="none"/>
                <w:lang w:val="en-US" w:eastAsia="zh-CN"/>
              </w:rPr>
              <w:t>合计</w:t>
            </w:r>
          </w:p>
        </w:tc>
        <w:tc>
          <w:tcPr>
            <w:tcW w:w="306" w:type="pct"/>
            <w:tcBorders>
              <w:tl2br w:val="nil"/>
              <w:tr2bl w:val="nil"/>
            </w:tcBorders>
            <w:shd w:val="clear" w:color="auto" w:fill="auto"/>
            <w:tcMar>
              <w:top w:w="12" w:type="dxa"/>
              <w:left w:w="12" w:type="dxa"/>
              <w:right w:w="12" w:type="dxa"/>
            </w:tcMar>
            <w:vAlign w:val="center"/>
          </w:tcPr>
          <w:p w14:paraId="519DDA81">
            <w:pPr>
              <w:widowControl/>
              <w:jc w:val="center"/>
              <w:textAlignment w:val="center"/>
              <w:rPr>
                <w:rFonts w:hint="eastAsia" w:asciiTheme="minorEastAsia" w:hAnsiTheme="minorEastAsia" w:eastAsiaTheme="minorEastAsia" w:cstheme="minorEastAsia"/>
                <w:b/>
                <w:bCs w:val="0"/>
                <w:kern w:val="0"/>
                <w:sz w:val="17"/>
                <w:szCs w:val="17"/>
                <w:highlight w:val="none"/>
                <w:lang w:val="en-US" w:eastAsia="zh-CN"/>
              </w:rPr>
            </w:pPr>
            <w:r>
              <w:rPr>
                <w:rFonts w:hint="eastAsia" w:asciiTheme="minorEastAsia" w:hAnsiTheme="minorEastAsia" w:eastAsiaTheme="minorEastAsia" w:cstheme="minorEastAsia"/>
                <w:b/>
                <w:bCs/>
                <w:color w:val="auto"/>
                <w:kern w:val="0"/>
                <w:sz w:val="17"/>
                <w:szCs w:val="17"/>
                <w:lang w:bidi="ar"/>
              </w:rPr>
              <w:t>1</w:t>
            </w:r>
            <w:r>
              <w:rPr>
                <w:rFonts w:hint="eastAsia" w:asciiTheme="minorEastAsia" w:hAnsiTheme="minorEastAsia" w:cstheme="minorEastAsia"/>
                <w:b/>
                <w:bCs/>
                <w:color w:val="auto"/>
                <w:kern w:val="0"/>
                <w:sz w:val="17"/>
                <w:szCs w:val="17"/>
                <w:lang w:val="en-US" w:eastAsia="zh-CN" w:bidi="ar"/>
              </w:rPr>
              <w:t>2</w:t>
            </w:r>
          </w:p>
        </w:tc>
        <w:tc>
          <w:tcPr>
            <w:tcW w:w="248" w:type="pct"/>
            <w:tcBorders>
              <w:tl2br w:val="nil"/>
              <w:tr2bl w:val="nil"/>
            </w:tcBorders>
            <w:shd w:val="clear" w:color="auto" w:fill="auto"/>
            <w:tcMar>
              <w:top w:w="12" w:type="dxa"/>
              <w:left w:w="12" w:type="dxa"/>
              <w:right w:w="12" w:type="dxa"/>
            </w:tcMar>
            <w:vAlign w:val="center"/>
          </w:tcPr>
          <w:p w14:paraId="45C599AE">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
                <w:bCs/>
                <w:color w:val="auto"/>
                <w:kern w:val="0"/>
                <w:sz w:val="17"/>
                <w:szCs w:val="17"/>
                <w:lang w:val="en-US" w:eastAsia="zh-CN" w:bidi="ar"/>
              </w:rPr>
              <w:t>206</w:t>
            </w:r>
          </w:p>
        </w:tc>
        <w:tc>
          <w:tcPr>
            <w:tcW w:w="285" w:type="pct"/>
            <w:tcBorders>
              <w:tl2br w:val="nil"/>
              <w:tr2bl w:val="nil"/>
            </w:tcBorders>
            <w:shd w:val="clear" w:color="auto" w:fill="auto"/>
            <w:tcMar>
              <w:top w:w="12" w:type="dxa"/>
              <w:left w:w="12" w:type="dxa"/>
              <w:right w:w="12" w:type="dxa"/>
            </w:tcMar>
            <w:vAlign w:val="center"/>
          </w:tcPr>
          <w:p w14:paraId="79EDB60F">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
                <w:bCs/>
                <w:color w:val="auto"/>
                <w:kern w:val="0"/>
                <w:sz w:val="17"/>
                <w:szCs w:val="17"/>
                <w:lang w:val="en-US" w:eastAsia="zh-CN" w:bidi="ar"/>
              </w:rPr>
              <w:t>1</w:t>
            </w:r>
            <w:r>
              <w:rPr>
                <w:rFonts w:hint="eastAsia" w:asciiTheme="minorEastAsia" w:hAnsiTheme="minorEastAsia" w:cstheme="minorEastAsia"/>
                <w:b/>
                <w:bCs/>
                <w:color w:val="auto"/>
                <w:kern w:val="0"/>
                <w:sz w:val="17"/>
                <w:szCs w:val="17"/>
                <w:lang w:val="en-US" w:eastAsia="zh-CN" w:bidi="ar"/>
              </w:rPr>
              <w:t>36</w:t>
            </w:r>
          </w:p>
        </w:tc>
        <w:tc>
          <w:tcPr>
            <w:tcW w:w="301" w:type="pct"/>
            <w:tcBorders>
              <w:tl2br w:val="nil"/>
              <w:tr2bl w:val="nil"/>
            </w:tcBorders>
            <w:shd w:val="clear" w:color="auto" w:fill="auto"/>
            <w:tcMar>
              <w:top w:w="12" w:type="dxa"/>
              <w:left w:w="12" w:type="dxa"/>
              <w:right w:w="12" w:type="dxa"/>
            </w:tcMar>
            <w:vAlign w:val="center"/>
          </w:tcPr>
          <w:p w14:paraId="1F1DB7C4">
            <w:pPr>
              <w:jc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
                <w:bCs/>
                <w:color w:val="auto"/>
                <w:kern w:val="0"/>
                <w:sz w:val="17"/>
                <w:szCs w:val="17"/>
                <w:lang w:val="en-US" w:eastAsia="zh-CN" w:bidi="ar"/>
              </w:rPr>
              <w:t>70</w:t>
            </w:r>
          </w:p>
        </w:tc>
        <w:tc>
          <w:tcPr>
            <w:tcW w:w="295" w:type="pct"/>
            <w:tcBorders>
              <w:tl2br w:val="nil"/>
              <w:tr2bl w:val="nil"/>
            </w:tcBorders>
            <w:shd w:val="clear" w:color="auto" w:fill="auto"/>
            <w:tcMar>
              <w:top w:w="12" w:type="dxa"/>
              <w:left w:w="12" w:type="dxa"/>
              <w:right w:w="12" w:type="dxa"/>
            </w:tcMar>
            <w:vAlign w:val="center"/>
          </w:tcPr>
          <w:p w14:paraId="12605183">
            <w:pPr>
              <w:jc w:val="center"/>
              <w:rPr>
                <w:rFonts w:hint="eastAsia" w:asciiTheme="minorEastAsia" w:hAnsiTheme="minorEastAsia" w:eastAsiaTheme="minorEastAsia" w:cstheme="minorEastAsia"/>
                <w:bCs/>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47704459">
            <w:pPr>
              <w:jc w:val="center"/>
              <w:rPr>
                <w:rFonts w:hint="eastAsia" w:asciiTheme="minorEastAsia" w:hAnsiTheme="minorEastAsia" w:eastAsiaTheme="minorEastAsia" w:cstheme="minorEastAsia"/>
                <w:bCs/>
                <w:kern w:val="0"/>
                <w:sz w:val="17"/>
                <w:szCs w:val="17"/>
                <w:highlight w:val="none"/>
                <w:lang w:val="en-US" w:eastAsia="zh-CN"/>
              </w:rPr>
            </w:pPr>
          </w:p>
        </w:tc>
        <w:tc>
          <w:tcPr>
            <w:tcW w:w="811" w:type="pct"/>
            <w:tcBorders>
              <w:tl2br w:val="nil"/>
              <w:tr2bl w:val="nil"/>
            </w:tcBorders>
            <w:shd w:val="clear" w:color="auto" w:fill="auto"/>
            <w:tcMar>
              <w:top w:w="12" w:type="dxa"/>
              <w:left w:w="12" w:type="dxa"/>
              <w:right w:w="12" w:type="dxa"/>
            </w:tcMar>
            <w:vAlign w:val="center"/>
          </w:tcPr>
          <w:p w14:paraId="776B4A9B">
            <w:pPr>
              <w:jc w:val="center"/>
              <w:rPr>
                <w:rFonts w:hint="eastAsia" w:asciiTheme="minorEastAsia" w:hAnsiTheme="minorEastAsia" w:eastAsiaTheme="minorEastAsia" w:cstheme="minorEastAsia"/>
                <w:bCs/>
                <w:kern w:val="0"/>
                <w:sz w:val="17"/>
                <w:szCs w:val="17"/>
                <w:highlight w:val="none"/>
                <w:lang w:val="en-US" w:eastAsia="zh-CN"/>
              </w:rPr>
            </w:pPr>
          </w:p>
        </w:tc>
      </w:tr>
      <w:tr w14:paraId="236B05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4799AC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restart"/>
            <w:tcBorders>
              <w:tl2br w:val="nil"/>
              <w:tr2bl w:val="nil"/>
            </w:tcBorders>
            <w:shd w:val="clear" w:color="auto" w:fill="auto"/>
            <w:tcMar>
              <w:top w:w="12" w:type="dxa"/>
              <w:left w:w="12" w:type="dxa"/>
              <w:right w:w="12" w:type="dxa"/>
            </w:tcMar>
            <w:vAlign w:val="center"/>
          </w:tcPr>
          <w:p w14:paraId="5710C9A8">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1EBDDFAA">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p w14:paraId="7123695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课程</w:t>
            </w:r>
          </w:p>
        </w:tc>
        <w:tc>
          <w:tcPr>
            <w:tcW w:w="645" w:type="pct"/>
            <w:tcBorders>
              <w:tl2br w:val="nil"/>
              <w:tr2bl w:val="nil"/>
            </w:tcBorders>
            <w:shd w:val="clear" w:color="auto" w:fill="auto"/>
            <w:tcMar>
              <w:top w:w="12" w:type="dxa"/>
              <w:left w:w="12" w:type="dxa"/>
              <w:right w:w="12" w:type="dxa"/>
            </w:tcMar>
            <w:vAlign w:val="center"/>
          </w:tcPr>
          <w:p w14:paraId="30D6553D">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1225246011</w:t>
            </w:r>
          </w:p>
        </w:tc>
        <w:tc>
          <w:tcPr>
            <w:tcW w:w="1250" w:type="pct"/>
            <w:tcBorders>
              <w:tl2br w:val="nil"/>
              <w:tr2bl w:val="nil"/>
            </w:tcBorders>
            <w:shd w:val="clear" w:color="auto" w:fill="auto"/>
            <w:tcMar>
              <w:top w:w="12" w:type="dxa"/>
              <w:left w:w="12" w:type="dxa"/>
              <w:right w:w="12" w:type="dxa"/>
            </w:tcMar>
            <w:vAlign w:val="center"/>
          </w:tcPr>
          <w:p w14:paraId="63F3BC0F">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汽车构造</w:t>
            </w:r>
          </w:p>
          <w:p w14:paraId="7B41E64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Car Structure</w:t>
            </w:r>
          </w:p>
        </w:tc>
        <w:tc>
          <w:tcPr>
            <w:tcW w:w="306" w:type="pct"/>
            <w:tcBorders>
              <w:tl2br w:val="nil"/>
              <w:tr2bl w:val="nil"/>
            </w:tcBorders>
            <w:shd w:val="clear" w:color="auto" w:fill="auto"/>
            <w:tcMar>
              <w:top w:w="12" w:type="dxa"/>
              <w:left w:w="12" w:type="dxa"/>
              <w:right w:w="12" w:type="dxa"/>
            </w:tcMar>
            <w:vAlign w:val="center"/>
          </w:tcPr>
          <w:p w14:paraId="74CF777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7BFF1A4D">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4FF28117">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32</w:t>
            </w:r>
          </w:p>
        </w:tc>
        <w:tc>
          <w:tcPr>
            <w:tcW w:w="301" w:type="pct"/>
            <w:tcBorders>
              <w:tl2br w:val="nil"/>
              <w:tr2bl w:val="nil"/>
            </w:tcBorders>
            <w:shd w:val="clear" w:color="auto" w:fill="auto"/>
            <w:tcMar>
              <w:top w:w="12" w:type="dxa"/>
              <w:left w:w="12" w:type="dxa"/>
              <w:right w:w="12" w:type="dxa"/>
            </w:tcMar>
            <w:vAlign w:val="center"/>
          </w:tcPr>
          <w:p w14:paraId="1AD07D4D">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16</w:t>
            </w:r>
          </w:p>
        </w:tc>
        <w:tc>
          <w:tcPr>
            <w:tcW w:w="295" w:type="pct"/>
            <w:tcBorders>
              <w:tl2br w:val="nil"/>
              <w:tr2bl w:val="nil"/>
            </w:tcBorders>
            <w:shd w:val="clear" w:color="auto" w:fill="auto"/>
            <w:tcMar>
              <w:top w:w="12" w:type="dxa"/>
              <w:left w:w="12" w:type="dxa"/>
              <w:right w:w="12" w:type="dxa"/>
            </w:tcMar>
            <w:vAlign w:val="center"/>
          </w:tcPr>
          <w:p w14:paraId="7B715F96">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w:t>
            </w:r>
            <w:r>
              <w:rPr>
                <w:rFonts w:hint="eastAsia" w:asciiTheme="minorEastAsia" w:hAnsiTheme="minorEastAsia" w:eastAsiaTheme="minorEastAsia" w:cstheme="minorEastAsia"/>
                <w:color w:val="auto"/>
                <w:sz w:val="17"/>
                <w:szCs w:val="17"/>
                <w:lang w:val="en-US" w:eastAsia="zh-CN"/>
              </w:rPr>
              <w:t>试</w:t>
            </w:r>
          </w:p>
        </w:tc>
        <w:tc>
          <w:tcPr>
            <w:tcW w:w="327" w:type="pct"/>
            <w:tcBorders>
              <w:tl2br w:val="nil"/>
              <w:tr2bl w:val="nil"/>
            </w:tcBorders>
            <w:shd w:val="clear" w:color="auto" w:fill="auto"/>
            <w:tcMar>
              <w:top w:w="12" w:type="dxa"/>
              <w:left w:w="12" w:type="dxa"/>
              <w:right w:w="12" w:type="dxa"/>
            </w:tcMar>
            <w:vAlign w:val="center"/>
          </w:tcPr>
          <w:p w14:paraId="5F206103">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0E7C9CA9">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70E7C6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62ACD5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1A6065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43B9FD2">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1225246011</w:t>
            </w:r>
          </w:p>
        </w:tc>
        <w:tc>
          <w:tcPr>
            <w:tcW w:w="1250" w:type="pct"/>
            <w:tcBorders>
              <w:tl2br w:val="nil"/>
              <w:tr2bl w:val="nil"/>
            </w:tcBorders>
            <w:shd w:val="clear" w:color="auto" w:fill="auto"/>
            <w:tcMar>
              <w:top w:w="12" w:type="dxa"/>
              <w:left w:w="12" w:type="dxa"/>
              <w:right w:w="12" w:type="dxa"/>
            </w:tcMar>
            <w:vAlign w:val="center"/>
          </w:tcPr>
          <w:p w14:paraId="0BAFB923">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bidi="ar"/>
              </w:rPr>
              <w:t>汽车发动机检测与维修</w:t>
            </w:r>
            <w:r>
              <w:rPr>
                <w:rFonts w:hint="default" w:ascii="Times New Roman" w:hAnsi="Times New Roman" w:eastAsia="宋体" w:cs="Times New Roman"/>
                <w:bCs/>
                <w:kern w:val="0"/>
                <w:sz w:val="17"/>
                <w:szCs w:val="17"/>
                <w:lang w:val="en-US" w:eastAsia="zh-CN" w:bidi="ar"/>
              </w:rPr>
              <w:t>Automobile engine inspection and maintenance</w:t>
            </w:r>
          </w:p>
        </w:tc>
        <w:tc>
          <w:tcPr>
            <w:tcW w:w="306" w:type="pct"/>
            <w:tcBorders>
              <w:tl2br w:val="nil"/>
              <w:tr2bl w:val="nil"/>
            </w:tcBorders>
            <w:shd w:val="clear" w:color="auto" w:fill="auto"/>
            <w:tcMar>
              <w:top w:w="12" w:type="dxa"/>
              <w:left w:w="12" w:type="dxa"/>
              <w:right w:w="12" w:type="dxa"/>
            </w:tcMar>
            <w:vAlign w:val="center"/>
          </w:tcPr>
          <w:p w14:paraId="7686329A">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248" w:type="pct"/>
            <w:tcBorders>
              <w:tl2br w:val="nil"/>
              <w:tr2bl w:val="nil"/>
            </w:tcBorders>
            <w:shd w:val="clear" w:color="auto" w:fill="auto"/>
            <w:tcMar>
              <w:top w:w="12" w:type="dxa"/>
              <w:left w:w="12" w:type="dxa"/>
              <w:right w:w="12" w:type="dxa"/>
            </w:tcMar>
            <w:vAlign w:val="center"/>
          </w:tcPr>
          <w:p w14:paraId="638CBF40">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48</w:t>
            </w:r>
          </w:p>
        </w:tc>
        <w:tc>
          <w:tcPr>
            <w:tcW w:w="285" w:type="pct"/>
            <w:tcBorders>
              <w:tl2br w:val="nil"/>
              <w:tr2bl w:val="nil"/>
            </w:tcBorders>
            <w:shd w:val="clear" w:color="auto" w:fill="auto"/>
            <w:tcMar>
              <w:top w:w="12" w:type="dxa"/>
              <w:left w:w="12" w:type="dxa"/>
              <w:right w:w="12" w:type="dxa"/>
            </w:tcMar>
            <w:vAlign w:val="center"/>
          </w:tcPr>
          <w:p w14:paraId="654BAD6B">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301" w:type="pct"/>
            <w:tcBorders>
              <w:tl2br w:val="nil"/>
              <w:tr2bl w:val="nil"/>
            </w:tcBorders>
            <w:shd w:val="clear" w:color="auto" w:fill="auto"/>
            <w:tcMar>
              <w:top w:w="12" w:type="dxa"/>
              <w:left w:w="12" w:type="dxa"/>
              <w:right w:w="12" w:type="dxa"/>
            </w:tcMar>
            <w:vAlign w:val="center"/>
          </w:tcPr>
          <w:p w14:paraId="6076A875">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16</w:t>
            </w:r>
          </w:p>
        </w:tc>
        <w:tc>
          <w:tcPr>
            <w:tcW w:w="295" w:type="pct"/>
            <w:tcBorders>
              <w:tl2br w:val="nil"/>
              <w:tr2bl w:val="nil"/>
            </w:tcBorders>
            <w:shd w:val="clear" w:color="auto" w:fill="auto"/>
            <w:tcMar>
              <w:top w:w="12" w:type="dxa"/>
              <w:left w:w="12" w:type="dxa"/>
              <w:right w:w="12" w:type="dxa"/>
            </w:tcMar>
            <w:vAlign w:val="center"/>
          </w:tcPr>
          <w:p w14:paraId="7C9A18BD">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考试</w:t>
            </w:r>
          </w:p>
        </w:tc>
        <w:tc>
          <w:tcPr>
            <w:tcW w:w="327" w:type="pct"/>
            <w:tcBorders>
              <w:tl2br w:val="nil"/>
              <w:tr2bl w:val="nil"/>
            </w:tcBorders>
            <w:shd w:val="clear" w:color="auto" w:fill="auto"/>
            <w:tcMar>
              <w:top w:w="12" w:type="dxa"/>
              <w:left w:w="12" w:type="dxa"/>
              <w:right w:w="12" w:type="dxa"/>
            </w:tcMar>
            <w:vAlign w:val="center"/>
          </w:tcPr>
          <w:p w14:paraId="15A1BC65">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811" w:type="pct"/>
            <w:tcBorders>
              <w:tl2br w:val="nil"/>
              <w:tr2bl w:val="nil"/>
            </w:tcBorders>
            <w:shd w:val="clear" w:color="auto" w:fill="auto"/>
            <w:tcMar>
              <w:top w:w="12" w:type="dxa"/>
              <w:left w:w="12" w:type="dxa"/>
              <w:right w:w="12" w:type="dxa"/>
            </w:tcMar>
            <w:vAlign w:val="center"/>
          </w:tcPr>
          <w:p w14:paraId="2DCC6166">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1819F7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140B30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ACC3D3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6CF3A91">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1224246061</w:t>
            </w:r>
          </w:p>
        </w:tc>
        <w:tc>
          <w:tcPr>
            <w:tcW w:w="1250" w:type="pct"/>
            <w:tcBorders>
              <w:tl2br w:val="nil"/>
              <w:tr2bl w:val="nil"/>
            </w:tcBorders>
            <w:shd w:val="clear" w:color="auto" w:fill="auto"/>
            <w:tcMar>
              <w:top w:w="12" w:type="dxa"/>
              <w:left w:w="12" w:type="dxa"/>
              <w:right w:w="12" w:type="dxa"/>
            </w:tcMar>
            <w:vAlign w:val="center"/>
          </w:tcPr>
          <w:p w14:paraId="7455BF3A">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新能源汽车技术</w:t>
            </w:r>
          </w:p>
          <w:p w14:paraId="7C4B4704">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New energy vehicle technology</w:t>
            </w:r>
          </w:p>
        </w:tc>
        <w:tc>
          <w:tcPr>
            <w:tcW w:w="306" w:type="pct"/>
            <w:tcBorders>
              <w:tl2br w:val="nil"/>
              <w:tr2bl w:val="nil"/>
            </w:tcBorders>
            <w:shd w:val="clear" w:color="auto" w:fill="auto"/>
            <w:tcMar>
              <w:top w:w="12" w:type="dxa"/>
              <w:left w:w="12" w:type="dxa"/>
              <w:right w:w="12" w:type="dxa"/>
            </w:tcMar>
            <w:vAlign w:val="center"/>
          </w:tcPr>
          <w:p w14:paraId="4418E275">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248" w:type="pct"/>
            <w:tcBorders>
              <w:tl2br w:val="nil"/>
              <w:tr2bl w:val="nil"/>
            </w:tcBorders>
            <w:shd w:val="clear" w:color="auto" w:fill="auto"/>
            <w:tcMar>
              <w:top w:w="12" w:type="dxa"/>
              <w:left w:w="12" w:type="dxa"/>
              <w:right w:w="12" w:type="dxa"/>
            </w:tcMar>
            <w:vAlign w:val="center"/>
          </w:tcPr>
          <w:p w14:paraId="595B2172">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48</w:t>
            </w:r>
          </w:p>
        </w:tc>
        <w:tc>
          <w:tcPr>
            <w:tcW w:w="285" w:type="pct"/>
            <w:tcBorders>
              <w:tl2br w:val="nil"/>
              <w:tr2bl w:val="nil"/>
            </w:tcBorders>
            <w:shd w:val="clear" w:color="auto" w:fill="auto"/>
            <w:noWrap/>
            <w:tcMar>
              <w:top w:w="12" w:type="dxa"/>
              <w:left w:w="12" w:type="dxa"/>
              <w:right w:w="12" w:type="dxa"/>
            </w:tcMar>
            <w:vAlign w:val="center"/>
          </w:tcPr>
          <w:p w14:paraId="0B7A753F">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301" w:type="pct"/>
            <w:tcBorders>
              <w:tl2br w:val="nil"/>
              <w:tr2bl w:val="nil"/>
            </w:tcBorders>
            <w:shd w:val="clear" w:color="auto" w:fill="auto"/>
            <w:tcMar>
              <w:top w:w="12" w:type="dxa"/>
              <w:left w:w="12" w:type="dxa"/>
              <w:right w:w="12" w:type="dxa"/>
            </w:tcMar>
            <w:vAlign w:val="center"/>
          </w:tcPr>
          <w:p w14:paraId="7A812AB5">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16</w:t>
            </w:r>
          </w:p>
        </w:tc>
        <w:tc>
          <w:tcPr>
            <w:tcW w:w="295" w:type="pct"/>
            <w:tcBorders>
              <w:tl2br w:val="nil"/>
              <w:tr2bl w:val="nil"/>
            </w:tcBorders>
            <w:shd w:val="clear" w:color="auto" w:fill="auto"/>
            <w:tcMar>
              <w:top w:w="12" w:type="dxa"/>
              <w:left w:w="12" w:type="dxa"/>
              <w:right w:w="12" w:type="dxa"/>
            </w:tcMar>
            <w:vAlign w:val="center"/>
          </w:tcPr>
          <w:p w14:paraId="257E6D0F">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w:t>
            </w:r>
            <w:r>
              <w:rPr>
                <w:rFonts w:hint="eastAsia" w:asciiTheme="minorEastAsia" w:hAnsiTheme="minorEastAsia" w:eastAsiaTheme="minorEastAsia" w:cstheme="minorEastAsia"/>
                <w:color w:val="auto"/>
                <w:sz w:val="17"/>
                <w:szCs w:val="17"/>
                <w:lang w:val="en-US" w:eastAsia="zh-CN"/>
              </w:rPr>
              <w:t>查</w:t>
            </w:r>
          </w:p>
        </w:tc>
        <w:tc>
          <w:tcPr>
            <w:tcW w:w="327" w:type="pct"/>
            <w:tcBorders>
              <w:tl2br w:val="nil"/>
              <w:tr2bl w:val="nil"/>
            </w:tcBorders>
            <w:shd w:val="clear" w:color="auto" w:fill="auto"/>
            <w:tcMar>
              <w:top w:w="12" w:type="dxa"/>
              <w:left w:w="12" w:type="dxa"/>
              <w:right w:w="12" w:type="dxa"/>
            </w:tcMar>
            <w:vAlign w:val="center"/>
          </w:tcPr>
          <w:p w14:paraId="373D3B42">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4BAD1666">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783C8E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4C1BDF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1A860A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A2EDBBC">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1224246058</w:t>
            </w:r>
          </w:p>
        </w:tc>
        <w:tc>
          <w:tcPr>
            <w:tcW w:w="1250" w:type="pct"/>
            <w:tcBorders>
              <w:tl2br w:val="nil"/>
              <w:tr2bl w:val="nil"/>
            </w:tcBorders>
            <w:shd w:val="clear" w:color="auto" w:fill="auto"/>
            <w:tcMar>
              <w:top w:w="12" w:type="dxa"/>
              <w:left w:w="12" w:type="dxa"/>
              <w:right w:w="12" w:type="dxa"/>
            </w:tcMar>
            <w:vAlign w:val="center"/>
          </w:tcPr>
          <w:p w14:paraId="75E33386">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汽车电气系统检测与维修</w:t>
            </w:r>
            <w:r>
              <w:rPr>
                <w:rFonts w:hint="default" w:ascii="Times New Roman" w:hAnsi="Times New Roman" w:eastAsia="宋体" w:cs="Times New Roman"/>
                <w:bCs/>
                <w:kern w:val="0"/>
                <w:sz w:val="17"/>
                <w:szCs w:val="17"/>
                <w:lang w:val="en-US" w:eastAsia="zh-CN" w:bidi="ar"/>
              </w:rPr>
              <w:t>Inspection and maintenance of automotive electrical systems</w:t>
            </w:r>
          </w:p>
        </w:tc>
        <w:tc>
          <w:tcPr>
            <w:tcW w:w="306" w:type="pct"/>
            <w:tcBorders>
              <w:tl2br w:val="nil"/>
              <w:tr2bl w:val="nil"/>
            </w:tcBorders>
            <w:shd w:val="clear" w:color="auto" w:fill="auto"/>
            <w:tcMar>
              <w:top w:w="12" w:type="dxa"/>
              <w:left w:w="12" w:type="dxa"/>
              <w:right w:w="12" w:type="dxa"/>
            </w:tcMar>
            <w:vAlign w:val="center"/>
          </w:tcPr>
          <w:p w14:paraId="0C4AE051">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248" w:type="pct"/>
            <w:tcBorders>
              <w:tl2br w:val="nil"/>
              <w:tr2bl w:val="nil"/>
            </w:tcBorders>
            <w:shd w:val="clear" w:color="auto" w:fill="auto"/>
            <w:tcMar>
              <w:top w:w="12" w:type="dxa"/>
              <w:left w:w="12" w:type="dxa"/>
              <w:right w:w="12" w:type="dxa"/>
            </w:tcMar>
            <w:vAlign w:val="center"/>
          </w:tcPr>
          <w:p w14:paraId="1524D3C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48</w:t>
            </w:r>
          </w:p>
        </w:tc>
        <w:tc>
          <w:tcPr>
            <w:tcW w:w="285" w:type="pct"/>
            <w:tcBorders>
              <w:tl2br w:val="nil"/>
              <w:tr2bl w:val="nil"/>
            </w:tcBorders>
            <w:shd w:val="clear" w:color="auto" w:fill="auto"/>
            <w:noWrap/>
            <w:tcMar>
              <w:top w:w="12" w:type="dxa"/>
              <w:left w:w="12" w:type="dxa"/>
              <w:right w:w="12" w:type="dxa"/>
            </w:tcMar>
            <w:vAlign w:val="center"/>
          </w:tcPr>
          <w:p w14:paraId="5C24863F">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301" w:type="pct"/>
            <w:tcBorders>
              <w:tl2br w:val="nil"/>
              <w:tr2bl w:val="nil"/>
            </w:tcBorders>
            <w:shd w:val="clear" w:color="auto" w:fill="auto"/>
            <w:noWrap/>
            <w:tcMar>
              <w:top w:w="12" w:type="dxa"/>
              <w:left w:w="12" w:type="dxa"/>
              <w:right w:w="12" w:type="dxa"/>
            </w:tcMar>
            <w:vAlign w:val="center"/>
          </w:tcPr>
          <w:p w14:paraId="0B037983">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16</w:t>
            </w:r>
          </w:p>
        </w:tc>
        <w:tc>
          <w:tcPr>
            <w:tcW w:w="295" w:type="pct"/>
            <w:tcBorders>
              <w:tl2br w:val="nil"/>
              <w:tr2bl w:val="nil"/>
            </w:tcBorders>
            <w:shd w:val="clear" w:color="auto" w:fill="auto"/>
            <w:tcMar>
              <w:top w:w="12" w:type="dxa"/>
              <w:left w:w="12" w:type="dxa"/>
              <w:right w:w="12" w:type="dxa"/>
            </w:tcMar>
            <w:vAlign w:val="center"/>
          </w:tcPr>
          <w:p w14:paraId="25EE310E">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w:t>
            </w:r>
            <w:r>
              <w:rPr>
                <w:rFonts w:hint="eastAsia" w:asciiTheme="minorEastAsia" w:hAnsiTheme="minorEastAsia" w:eastAsiaTheme="minorEastAsia" w:cstheme="minorEastAsia"/>
                <w:color w:val="auto"/>
                <w:sz w:val="17"/>
                <w:szCs w:val="17"/>
                <w:lang w:val="en-US" w:eastAsia="zh-CN"/>
              </w:rPr>
              <w:t>试</w:t>
            </w:r>
          </w:p>
        </w:tc>
        <w:tc>
          <w:tcPr>
            <w:tcW w:w="327" w:type="pct"/>
            <w:tcBorders>
              <w:tl2br w:val="nil"/>
              <w:tr2bl w:val="nil"/>
            </w:tcBorders>
            <w:shd w:val="clear" w:color="auto" w:fill="auto"/>
            <w:tcMar>
              <w:top w:w="12" w:type="dxa"/>
              <w:left w:w="12" w:type="dxa"/>
              <w:right w:w="12" w:type="dxa"/>
            </w:tcMar>
            <w:vAlign w:val="center"/>
          </w:tcPr>
          <w:p w14:paraId="74A02F77">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5</w:t>
            </w:r>
          </w:p>
        </w:tc>
        <w:tc>
          <w:tcPr>
            <w:tcW w:w="811" w:type="pct"/>
            <w:tcBorders>
              <w:tl2br w:val="nil"/>
              <w:tr2bl w:val="nil"/>
            </w:tcBorders>
            <w:shd w:val="clear" w:color="auto" w:fill="auto"/>
            <w:tcMar>
              <w:top w:w="12" w:type="dxa"/>
              <w:left w:w="12" w:type="dxa"/>
              <w:right w:w="12" w:type="dxa"/>
            </w:tcMar>
            <w:vAlign w:val="center"/>
          </w:tcPr>
          <w:p w14:paraId="14014C06">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286DF7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60BEF6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D2DF43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2F04AF1">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1224246062</w:t>
            </w:r>
          </w:p>
        </w:tc>
        <w:tc>
          <w:tcPr>
            <w:tcW w:w="1250" w:type="pct"/>
            <w:tcBorders>
              <w:tl2br w:val="nil"/>
              <w:tr2bl w:val="nil"/>
            </w:tcBorders>
            <w:shd w:val="clear" w:color="auto" w:fill="auto"/>
            <w:tcMar>
              <w:top w:w="12" w:type="dxa"/>
              <w:left w:w="12" w:type="dxa"/>
              <w:right w:w="12" w:type="dxa"/>
            </w:tcMar>
            <w:vAlign w:val="center"/>
          </w:tcPr>
          <w:p w14:paraId="38E678A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汽车底盘检测与维修</w:t>
            </w:r>
            <w:r>
              <w:rPr>
                <w:rFonts w:hint="default" w:ascii="Times New Roman" w:hAnsi="Times New Roman" w:eastAsia="宋体" w:cs="Times New Roman"/>
                <w:bCs/>
                <w:kern w:val="0"/>
                <w:sz w:val="17"/>
                <w:szCs w:val="17"/>
                <w:lang w:val="en-US" w:eastAsia="zh-CN" w:bidi="ar"/>
              </w:rPr>
              <w:t>Automobile chassis inspection and maintenance</w:t>
            </w:r>
          </w:p>
        </w:tc>
        <w:tc>
          <w:tcPr>
            <w:tcW w:w="306" w:type="pct"/>
            <w:tcBorders>
              <w:tl2br w:val="nil"/>
              <w:tr2bl w:val="nil"/>
            </w:tcBorders>
            <w:shd w:val="clear" w:color="auto" w:fill="auto"/>
            <w:tcMar>
              <w:top w:w="12" w:type="dxa"/>
              <w:left w:w="12" w:type="dxa"/>
              <w:right w:w="12" w:type="dxa"/>
            </w:tcMar>
            <w:vAlign w:val="center"/>
          </w:tcPr>
          <w:p w14:paraId="37501026">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248" w:type="pct"/>
            <w:tcBorders>
              <w:tl2br w:val="nil"/>
              <w:tr2bl w:val="nil"/>
            </w:tcBorders>
            <w:shd w:val="clear" w:color="auto" w:fill="auto"/>
            <w:tcMar>
              <w:top w:w="12" w:type="dxa"/>
              <w:left w:w="12" w:type="dxa"/>
              <w:right w:w="12" w:type="dxa"/>
            </w:tcMar>
            <w:vAlign w:val="center"/>
          </w:tcPr>
          <w:p w14:paraId="0FA65B2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48</w:t>
            </w:r>
          </w:p>
        </w:tc>
        <w:tc>
          <w:tcPr>
            <w:tcW w:w="285" w:type="pct"/>
            <w:tcBorders>
              <w:tl2br w:val="nil"/>
              <w:tr2bl w:val="nil"/>
            </w:tcBorders>
            <w:shd w:val="clear" w:color="auto" w:fill="auto"/>
            <w:noWrap/>
            <w:tcMar>
              <w:top w:w="12" w:type="dxa"/>
              <w:left w:w="12" w:type="dxa"/>
              <w:right w:w="12" w:type="dxa"/>
            </w:tcMar>
            <w:vAlign w:val="center"/>
          </w:tcPr>
          <w:p w14:paraId="5807E3EF">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301" w:type="pct"/>
            <w:tcBorders>
              <w:tl2br w:val="nil"/>
              <w:tr2bl w:val="nil"/>
            </w:tcBorders>
            <w:shd w:val="clear" w:color="auto" w:fill="auto"/>
            <w:noWrap/>
            <w:tcMar>
              <w:top w:w="12" w:type="dxa"/>
              <w:left w:w="12" w:type="dxa"/>
              <w:right w:w="12" w:type="dxa"/>
            </w:tcMar>
            <w:vAlign w:val="center"/>
          </w:tcPr>
          <w:p w14:paraId="154ADDE1">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16</w:t>
            </w:r>
          </w:p>
        </w:tc>
        <w:tc>
          <w:tcPr>
            <w:tcW w:w="295" w:type="pct"/>
            <w:tcBorders>
              <w:tl2br w:val="nil"/>
              <w:tr2bl w:val="nil"/>
            </w:tcBorders>
            <w:shd w:val="clear" w:color="auto" w:fill="auto"/>
            <w:tcMar>
              <w:top w:w="12" w:type="dxa"/>
              <w:left w:w="12" w:type="dxa"/>
              <w:right w:w="12" w:type="dxa"/>
            </w:tcMar>
            <w:vAlign w:val="center"/>
          </w:tcPr>
          <w:p w14:paraId="1D86BEB9">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kern w:val="2"/>
                <w:sz w:val="17"/>
                <w:szCs w:val="17"/>
                <w:lang w:val="en-US" w:eastAsia="zh-CN" w:bidi="ar-SA"/>
              </w:rPr>
              <w:t>考试</w:t>
            </w:r>
          </w:p>
        </w:tc>
        <w:tc>
          <w:tcPr>
            <w:tcW w:w="327" w:type="pct"/>
            <w:tcBorders>
              <w:tl2br w:val="nil"/>
              <w:tr2bl w:val="nil"/>
            </w:tcBorders>
            <w:shd w:val="clear" w:color="auto" w:fill="auto"/>
            <w:tcMar>
              <w:top w:w="12" w:type="dxa"/>
              <w:left w:w="12" w:type="dxa"/>
              <w:right w:w="12" w:type="dxa"/>
            </w:tcMar>
            <w:vAlign w:val="center"/>
          </w:tcPr>
          <w:p w14:paraId="048ACD6D">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kern w:val="2"/>
                <w:sz w:val="17"/>
                <w:szCs w:val="17"/>
                <w:lang w:val="en-US" w:eastAsia="zh-CN" w:bidi="ar-SA"/>
              </w:rPr>
              <w:t>5</w:t>
            </w:r>
          </w:p>
        </w:tc>
        <w:tc>
          <w:tcPr>
            <w:tcW w:w="811" w:type="pct"/>
            <w:tcBorders>
              <w:tl2br w:val="nil"/>
              <w:tr2bl w:val="nil"/>
            </w:tcBorders>
            <w:shd w:val="clear" w:color="auto" w:fill="auto"/>
            <w:tcMar>
              <w:top w:w="12" w:type="dxa"/>
              <w:left w:w="12" w:type="dxa"/>
              <w:right w:w="12" w:type="dxa"/>
            </w:tcMar>
            <w:vAlign w:val="center"/>
          </w:tcPr>
          <w:p w14:paraId="719A99F2">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408AB5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1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1893BD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AAEDB5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4E61E865">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1224246058</w:t>
            </w:r>
          </w:p>
        </w:tc>
        <w:tc>
          <w:tcPr>
            <w:tcW w:w="1250" w:type="pct"/>
            <w:tcBorders>
              <w:tl2br w:val="nil"/>
              <w:tr2bl w:val="nil"/>
            </w:tcBorders>
            <w:shd w:val="clear" w:color="auto" w:fill="auto"/>
            <w:tcMar>
              <w:top w:w="12" w:type="dxa"/>
              <w:left w:w="12" w:type="dxa"/>
              <w:right w:w="12" w:type="dxa"/>
            </w:tcMar>
            <w:vAlign w:val="center"/>
          </w:tcPr>
          <w:p w14:paraId="7B74A77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汽车检测与故障诊断</w:t>
            </w:r>
            <w:r>
              <w:rPr>
                <w:rFonts w:hint="default" w:ascii="Times New Roman" w:hAnsi="Times New Roman" w:eastAsia="宋体" w:cs="Times New Roman"/>
                <w:bCs/>
                <w:kern w:val="0"/>
                <w:sz w:val="17"/>
                <w:szCs w:val="17"/>
                <w:lang w:val="en-US" w:eastAsia="zh-CN" w:bidi="ar"/>
              </w:rPr>
              <w:t>Automobile inspection and fault diagnosis</w:t>
            </w:r>
          </w:p>
        </w:tc>
        <w:tc>
          <w:tcPr>
            <w:tcW w:w="306" w:type="pct"/>
            <w:tcBorders>
              <w:tl2br w:val="nil"/>
              <w:tr2bl w:val="nil"/>
            </w:tcBorders>
            <w:shd w:val="clear" w:color="auto" w:fill="auto"/>
            <w:tcMar>
              <w:top w:w="12" w:type="dxa"/>
              <w:left w:w="12" w:type="dxa"/>
              <w:right w:w="12" w:type="dxa"/>
            </w:tcMar>
            <w:vAlign w:val="center"/>
          </w:tcPr>
          <w:p w14:paraId="333DC550">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248" w:type="pct"/>
            <w:tcBorders>
              <w:tl2br w:val="nil"/>
              <w:tr2bl w:val="nil"/>
            </w:tcBorders>
            <w:shd w:val="clear" w:color="auto" w:fill="auto"/>
            <w:tcMar>
              <w:top w:w="12" w:type="dxa"/>
              <w:left w:w="12" w:type="dxa"/>
              <w:right w:w="12" w:type="dxa"/>
            </w:tcMar>
            <w:vAlign w:val="center"/>
          </w:tcPr>
          <w:p w14:paraId="6E299468">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48</w:t>
            </w:r>
          </w:p>
        </w:tc>
        <w:tc>
          <w:tcPr>
            <w:tcW w:w="285" w:type="pct"/>
            <w:tcBorders>
              <w:tl2br w:val="nil"/>
              <w:tr2bl w:val="nil"/>
            </w:tcBorders>
            <w:shd w:val="clear" w:color="auto" w:fill="auto"/>
            <w:noWrap/>
            <w:tcMar>
              <w:top w:w="12" w:type="dxa"/>
              <w:left w:w="12" w:type="dxa"/>
              <w:right w:w="12" w:type="dxa"/>
            </w:tcMar>
            <w:vAlign w:val="center"/>
          </w:tcPr>
          <w:p w14:paraId="1FDD971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noWrap/>
            <w:tcMar>
              <w:top w:w="12" w:type="dxa"/>
              <w:left w:w="12" w:type="dxa"/>
              <w:right w:w="12" w:type="dxa"/>
            </w:tcMar>
            <w:vAlign w:val="center"/>
          </w:tcPr>
          <w:p w14:paraId="30A8858F">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295" w:type="pct"/>
            <w:tcBorders>
              <w:tl2br w:val="nil"/>
              <w:tr2bl w:val="nil"/>
            </w:tcBorders>
            <w:shd w:val="clear" w:color="auto" w:fill="auto"/>
            <w:tcMar>
              <w:top w:w="12" w:type="dxa"/>
              <w:left w:w="12" w:type="dxa"/>
              <w:right w:w="12" w:type="dxa"/>
            </w:tcMar>
            <w:vAlign w:val="center"/>
          </w:tcPr>
          <w:p w14:paraId="51363CA8">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5409BEE7">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w:t>
            </w:r>
          </w:p>
        </w:tc>
        <w:tc>
          <w:tcPr>
            <w:tcW w:w="811" w:type="pct"/>
            <w:tcBorders>
              <w:tl2br w:val="nil"/>
              <w:tr2bl w:val="nil"/>
            </w:tcBorders>
            <w:shd w:val="clear" w:color="auto" w:fill="auto"/>
            <w:tcMar>
              <w:top w:w="12" w:type="dxa"/>
              <w:left w:w="12" w:type="dxa"/>
              <w:right w:w="12" w:type="dxa"/>
            </w:tcMar>
            <w:vAlign w:val="center"/>
          </w:tcPr>
          <w:p w14:paraId="341F5004">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072236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F2492F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8AB2BE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9A27D71">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1224246062</w:t>
            </w:r>
          </w:p>
        </w:tc>
        <w:tc>
          <w:tcPr>
            <w:tcW w:w="1250" w:type="pct"/>
            <w:tcBorders>
              <w:tl2br w:val="nil"/>
              <w:tr2bl w:val="nil"/>
            </w:tcBorders>
            <w:shd w:val="clear" w:color="auto" w:fill="auto"/>
            <w:tcMar>
              <w:top w:w="12" w:type="dxa"/>
              <w:left w:w="12" w:type="dxa"/>
              <w:right w:w="12" w:type="dxa"/>
            </w:tcMar>
            <w:vAlign w:val="center"/>
          </w:tcPr>
          <w:p w14:paraId="1A06B254">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汽车综合故障诊断</w:t>
            </w:r>
          </w:p>
          <w:p w14:paraId="5C02BB14">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Comprehensive fault diagnosis of automobiles</w:t>
            </w:r>
          </w:p>
        </w:tc>
        <w:tc>
          <w:tcPr>
            <w:tcW w:w="306" w:type="pct"/>
            <w:tcBorders>
              <w:tl2br w:val="nil"/>
              <w:tr2bl w:val="nil"/>
            </w:tcBorders>
            <w:shd w:val="clear" w:color="auto" w:fill="auto"/>
            <w:tcMar>
              <w:top w:w="12" w:type="dxa"/>
              <w:left w:w="12" w:type="dxa"/>
              <w:right w:w="12" w:type="dxa"/>
            </w:tcMar>
            <w:vAlign w:val="center"/>
          </w:tcPr>
          <w:p w14:paraId="1053CB7A">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w:t>
            </w:r>
          </w:p>
        </w:tc>
        <w:tc>
          <w:tcPr>
            <w:tcW w:w="248" w:type="pct"/>
            <w:tcBorders>
              <w:tl2br w:val="nil"/>
              <w:tr2bl w:val="nil"/>
            </w:tcBorders>
            <w:shd w:val="clear" w:color="auto" w:fill="auto"/>
            <w:tcMar>
              <w:top w:w="12" w:type="dxa"/>
              <w:left w:w="12" w:type="dxa"/>
              <w:right w:w="12" w:type="dxa"/>
            </w:tcMar>
            <w:vAlign w:val="center"/>
          </w:tcPr>
          <w:p w14:paraId="2B685EF4">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85" w:type="pct"/>
            <w:tcBorders>
              <w:tl2br w:val="nil"/>
              <w:tr2bl w:val="nil"/>
            </w:tcBorders>
            <w:shd w:val="clear" w:color="auto" w:fill="auto"/>
            <w:noWrap/>
            <w:tcMar>
              <w:top w:w="12" w:type="dxa"/>
              <w:left w:w="12" w:type="dxa"/>
              <w:right w:w="12" w:type="dxa"/>
            </w:tcMar>
            <w:vAlign w:val="center"/>
          </w:tcPr>
          <w:p w14:paraId="182F75E5">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0</w:t>
            </w:r>
          </w:p>
        </w:tc>
        <w:tc>
          <w:tcPr>
            <w:tcW w:w="301" w:type="pct"/>
            <w:tcBorders>
              <w:tl2br w:val="nil"/>
              <w:tr2bl w:val="nil"/>
            </w:tcBorders>
            <w:shd w:val="clear" w:color="auto" w:fill="auto"/>
            <w:noWrap/>
            <w:tcMar>
              <w:top w:w="12" w:type="dxa"/>
              <w:left w:w="12" w:type="dxa"/>
              <w:right w:w="12" w:type="dxa"/>
            </w:tcMar>
            <w:vAlign w:val="center"/>
          </w:tcPr>
          <w:p w14:paraId="5773234C">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95" w:type="pct"/>
            <w:tcBorders>
              <w:tl2br w:val="nil"/>
              <w:tr2bl w:val="nil"/>
            </w:tcBorders>
            <w:shd w:val="clear" w:color="auto" w:fill="auto"/>
            <w:tcMar>
              <w:top w:w="12" w:type="dxa"/>
              <w:left w:w="12" w:type="dxa"/>
              <w:right w:w="12" w:type="dxa"/>
            </w:tcMar>
            <w:vAlign w:val="center"/>
          </w:tcPr>
          <w:p w14:paraId="22C3F897">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458CA2E1">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811" w:type="pct"/>
            <w:tcBorders>
              <w:tl2br w:val="nil"/>
              <w:tr2bl w:val="nil"/>
            </w:tcBorders>
            <w:shd w:val="clear" w:color="auto" w:fill="auto"/>
            <w:tcMar>
              <w:top w:w="12" w:type="dxa"/>
              <w:left w:w="12" w:type="dxa"/>
              <w:right w:w="12" w:type="dxa"/>
            </w:tcMar>
            <w:vAlign w:val="center"/>
          </w:tcPr>
          <w:p w14:paraId="13E729BC">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76A5DD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2D7B54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E7F01F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47F6362">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1224546011</w:t>
            </w:r>
          </w:p>
        </w:tc>
        <w:tc>
          <w:tcPr>
            <w:tcW w:w="1250" w:type="pct"/>
            <w:tcBorders>
              <w:tl2br w:val="nil"/>
              <w:tr2bl w:val="nil"/>
            </w:tcBorders>
            <w:shd w:val="clear" w:color="auto" w:fill="auto"/>
            <w:tcMar>
              <w:top w:w="12" w:type="dxa"/>
              <w:left w:w="12" w:type="dxa"/>
              <w:right w:w="12" w:type="dxa"/>
            </w:tcMar>
            <w:vAlign w:val="center"/>
          </w:tcPr>
          <w:p w14:paraId="0373A16E">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汽车钣金实训</w:t>
            </w:r>
          </w:p>
          <w:p w14:paraId="6B45DE97">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Automobile bodywork training</w:t>
            </w:r>
          </w:p>
        </w:tc>
        <w:tc>
          <w:tcPr>
            <w:tcW w:w="306" w:type="pct"/>
            <w:tcBorders>
              <w:tl2br w:val="nil"/>
              <w:tr2bl w:val="nil"/>
            </w:tcBorders>
            <w:shd w:val="clear" w:color="auto" w:fill="auto"/>
            <w:tcMar>
              <w:top w:w="12" w:type="dxa"/>
              <w:left w:w="12" w:type="dxa"/>
              <w:right w:w="12" w:type="dxa"/>
            </w:tcMar>
            <w:vAlign w:val="center"/>
          </w:tcPr>
          <w:p w14:paraId="29E0F6BA">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w:t>
            </w:r>
          </w:p>
        </w:tc>
        <w:tc>
          <w:tcPr>
            <w:tcW w:w="248" w:type="pct"/>
            <w:tcBorders>
              <w:tl2br w:val="nil"/>
              <w:tr2bl w:val="nil"/>
            </w:tcBorders>
            <w:shd w:val="clear" w:color="auto" w:fill="auto"/>
            <w:tcMar>
              <w:top w:w="12" w:type="dxa"/>
              <w:left w:w="12" w:type="dxa"/>
              <w:right w:w="12" w:type="dxa"/>
            </w:tcMar>
            <w:vAlign w:val="center"/>
          </w:tcPr>
          <w:p w14:paraId="394B9DAA">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85" w:type="pct"/>
            <w:tcBorders>
              <w:tl2br w:val="nil"/>
              <w:tr2bl w:val="nil"/>
            </w:tcBorders>
            <w:shd w:val="clear" w:color="auto" w:fill="auto"/>
            <w:noWrap/>
            <w:tcMar>
              <w:top w:w="12" w:type="dxa"/>
              <w:left w:w="12" w:type="dxa"/>
              <w:right w:w="12" w:type="dxa"/>
            </w:tcMar>
            <w:vAlign w:val="center"/>
          </w:tcPr>
          <w:p w14:paraId="1F73B743">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0</w:t>
            </w:r>
          </w:p>
        </w:tc>
        <w:tc>
          <w:tcPr>
            <w:tcW w:w="301" w:type="pct"/>
            <w:tcBorders>
              <w:tl2br w:val="nil"/>
              <w:tr2bl w:val="nil"/>
            </w:tcBorders>
            <w:shd w:val="clear" w:color="auto" w:fill="auto"/>
            <w:noWrap/>
            <w:tcMar>
              <w:top w:w="12" w:type="dxa"/>
              <w:left w:w="12" w:type="dxa"/>
              <w:right w:w="12" w:type="dxa"/>
            </w:tcMar>
            <w:vAlign w:val="center"/>
          </w:tcPr>
          <w:p w14:paraId="32493FC9">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95" w:type="pct"/>
            <w:tcBorders>
              <w:tl2br w:val="nil"/>
              <w:tr2bl w:val="nil"/>
            </w:tcBorders>
            <w:shd w:val="clear" w:color="auto" w:fill="auto"/>
            <w:tcMar>
              <w:top w:w="12" w:type="dxa"/>
              <w:left w:w="12" w:type="dxa"/>
              <w:right w:w="12" w:type="dxa"/>
            </w:tcMar>
            <w:vAlign w:val="center"/>
          </w:tcPr>
          <w:p w14:paraId="06C8CAB4">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65524C75">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w:t>
            </w:r>
          </w:p>
        </w:tc>
        <w:tc>
          <w:tcPr>
            <w:tcW w:w="811" w:type="pct"/>
            <w:tcBorders>
              <w:tl2br w:val="nil"/>
              <w:tr2bl w:val="nil"/>
            </w:tcBorders>
            <w:shd w:val="clear" w:color="auto" w:fill="auto"/>
            <w:tcMar>
              <w:top w:w="12" w:type="dxa"/>
              <w:left w:w="12" w:type="dxa"/>
              <w:right w:w="12" w:type="dxa"/>
            </w:tcMar>
            <w:vAlign w:val="center"/>
          </w:tcPr>
          <w:p w14:paraId="43D6B44E">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7BFEAF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2AE826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182596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4F0ACD2E">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1224646001</w:t>
            </w:r>
          </w:p>
        </w:tc>
        <w:tc>
          <w:tcPr>
            <w:tcW w:w="1250" w:type="pct"/>
            <w:tcBorders>
              <w:tl2br w:val="nil"/>
              <w:tr2bl w:val="nil"/>
            </w:tcBorders>
            <w:shd w:val="clear" w:color="auto" w:fill="auto"/>
            <w:tcMar>
              <w:top w:w="12" w:type="dxa"/>
              <w:left w:w="12" w:type="dxa"/>
              <w:right w:w="12" w:type="dxa"/>
            </w:tcMar>
            <w:vAlign w:val="center"/>
          </w:tcPr>
          <w:p w14:paraId="7A1B1ABF">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顶岗实习及毕业实践</w:t>
            </w:r>
          </w:p>
          <w:p w14:paraId="0A0AB9C5">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Job Internship and Graduation Practice</w:t>
            </w:r>
          </w:p>
        </w:tc>
        <w:tc>
          <w:tcPr>
            <w:tcW w:w="306" w:type="pct"/>
            <w:tcBorders>
              <w:tl2br w:val="nil"/>
              <w:tr2bl w:val="nil"/>
            </w:tcBorders>
            <w:shd w:val="clear" w:color="auto" w:fill="auto"/>
            <w:tcMar>
              <w:top w:w="12" w:type="dxa"/>
              <w:left w:w="12" w:type="dxa"/>
              <w:right w:w="12" w:type="dxa"/>
            </w:tcMar>
            <w:vAlign w:val="center"/>
          </w:tcPr>
          <w:p w14:paraId="3359C84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28</w:t>
            </w:r>
          </w:p>
        </w:tc>
        <w:tc>
          <w:tcPr>
            <w:tcW w:w="248" w:type="pct"/>
            <w:tcBorders>
              <w:tl2br w:val="nil"/>
              <w:tr2bl w:val="nil"/>
            </w:tcBorders>
            <w:shd w:val="clear" w:color="auto" w:fill="auto"/>
            <w:tcMar>
              <w:top w:w="12" w:type="dxa"/>
              <w:left w:w="12" w:type="dxa"/>
              <w:right w:w="12" w:type="dxa"/>
            </w:tcMar>
            <w:vAlign w:val="center"/>
          </w:tcPr>
          <w:p w14:paraId="341ED22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840</w:t>
            </w:r>
          </w:p>
        </w:tc>
        <w:tc>
          <w:tcPr>
            <w:tcW w:w="285" w:type="pct"/>
            <w:tcBorders>
              <w:tl2br w:val="nil"/>
              <w:tr2bl w:val="nil"/>
            </w:tcBorders>
            <w:shd w:val="clear" w:color="auto" w:fill="auto"/>
            <w:noWrap/>
            <w:tcMar>
              <w:top w:w="12" w:type="dxa"/>
              <w:left w:w="12" w:type="dxa"/>
              <w:right w:w="12" w:type="dxa"/>
            </w:tcMar>
            <w:vAlign w:val="center"/>
          </w:tcPr>
          <w:p w14:paraId="07E9A3C1">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0</w:t>
            </w:r>
          </w:p>
        </w:tc>
        <w:tc>
          <w:tcPr>
            <w:tcW w:w="301" w:type="pct"/>
            <w:tcBorders>
              <w:tl2br w:val="nil"/>
              <w:tr2bl w:val="nil"/>
            </w:tcBorders>
            <w:shd w:val="clear" w:color="auto" w:fill="auto"/>
            <w:noWrap/>
            <w:tcMar>
              <w:top w:w="12" w:type="dxa"/>
              <w:left w:w="12" w:type="dxa"/>
              <w:right w:w="12" w:type="dxa"/>
            </w:tcMar>
            <w:vAlign w:val="center"/>
          </w:tcPr>
          <w:p w14:paraId="3379778B">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color w:val="auto"/>
                <w:sz w:val="17"/>
                <w:szCs w:val="17"/>
                <w:lang w:val="en-US" w:eastAsia="zh-CN"/>
              </w:rPr>
              <w:t>840</w:t>
            </w:r>
          </w:p>
        </w:tc>
        <w:tc>
          <w:tcPr>
            <w:tcW w:w="295" w:type="pct"/>
            <w:tcBorders>
              <w:tl2br w:val="nil"/>
              <w:tr2bl w:val="nil"/>
            </w:tcBorders>
            <w:shd w:val="clear" w:color="auto" w:fill="auto"/>
            <w:tcMar>
              <w:top w:w="12" w:type="dxa"/>
              <w:left w:w="12" w:type="dxa"/>
              <w:right w:w="12" w:type="dxa"/>
            </w:tcMar>
            <w:vAlign w:val="center"/>
          </w:tcPr>
          <w:p w14:paraId="34D9E4AC">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000000"/>
                <w:kern w:val="0"/>
                <w:sz w:val="17"/>
                <w:szCs w:val="17"/>
                <w:highlight w:val="none"/>
                <w:lang w:val="en-US" w:eastAsia="zh-CN" w:bidi="ar"/>
              </w:rPr>
              <w:t>考查</w:t>
            </w:r>
          </w:p>
        </w:tc>
        <w:tc>
          <w:tcPr>
            <w:tcW w:w="327" w:type="pct"/>
            <w:tcBorders>
              <w:tl2br w:val="nil"/>
              <w:tr2bl w:val="nil"/>
            </w:tcBorders>
            <w:shd w:val="clear" w:color="auto" w:fill="auto"/>
            <w:tcMar>
              <w:top w:w="12" w:type="dxa"/>
              <w:left w:w="12" w:type="dxa"/>
              <w:right w:w="12" w:type="dxa"/>
            </w:tcMar>
            <w:vAlign w:val="center"/>
          </w:tcPr>
          <w:p w14:paraId="7FC54354">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5</w:t>
            </w:r>
            <w:r>
              <w:rPr>
                <w:rFonts w:hint="eastAsia" w:asciiTheme="minorEastAsia" w:hAnsiTheme="minorEastAsia" w:eastAsiaTheme="minorEastAsia" w:cstheme="minorEastAsia"/>
                <w:color w:val="auto"/>
                <w:sz w:val="17"/>
                <w:szCs w:val="17"/>
                <w:lang w:val="en-US" w:eastAsia="zh-CN"/>
              </w:rPr>
              <w:t>-6</w:t>
            </w:r>
          </w:p>
        </w:tc>
        <w:tc>
          <w:tcPr>
            <w:tcW w:w="811" w:type="pct"/>
            <w:tcBorders>
              <w:tl2br w:val="nil"/>
              <w:tr2bl w:val="nil"/>
            </w:tcBorders>
            <w:shd w:val="clear" w:color="auto" w:fill="auto"/>
            <w:tcMar>
              <w:top w:w="12" w:type="dxa"/>
              <w:left w:w="12" w:type="dxa"/>
              <w:right w:w="12" w:type="dxa"/>
            </w:tcMar>
            <w:vAlign w:val="center"/>
          </w:tcPr>
          <w:p w14:paraId="77A65C8E">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0899EE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5E9A4D4">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B8DFC0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1895" w:type="pct"/>
            <w:gridSpan w:val="2"/>
            <w:tcBorders>
              <w:tl2br w:val="nil"/>
              <w:tr2bl w:val="nil"/>
            </w:tcBorders>
            <w:shd w:val="clear" w:color="auto" w:fill="auto"/>
            <w:tcMar>
              <w:top w:w="12" w:type="dxa"/>
              <w:left w:w="12" w:type="dxa"/>
              <w:right w:w="12" w:type="dxa"/>
            </w:tcMar>
            <w:vAlign w:val="center"/>
          </w:tcPr>
          <w:p w14:paraId="16A4D7B9">
            <w:pPr>
              <w:adjustRightInd w:val="0"/>
              <w:spacing w:line="200" w:lineRule="exact"/>
              <w:jc w:val="center"/>
              <w:rPr>
                <w:rFonts w:hint="eastAsia" w:asciiTheme="minorEastAsia" w:hAnsiTheme="minorEastAsia" w:eastAsiaTheme="minorEastAsia" w:cstheme="minorEastAsia"/>
                <w:b/>
                <w:bCs w:val="0"/>
                <w:kern w:val="0"/>
                <w:sz w:val="17"/>
                <w:szCs w:val="17"/>
                <w:highlight w:val="none"/>
                <w:lang w:val="en-US" w:eastAsia="zh-CN"/>
              </w:rPr>
            </w:pPr>
            <w:r>
              <w:rPr>
                <w:rFonts w:hint="eastAsia" w:asciiTheme="minorEastAsia" w:hAnsiTheme="minorEastAsia" w:eastAsiaTheme="minorEastAsia" w:cstheme="minorEastAsia"/>
                <w:b/>
                <w:bCs w:val="0"/>
                <w:kern w:val="0"/>
                <w:sz w:val="17"/>
                <w:szCs w:val="17"/>
                <w:highlight w:val="none"/>
                <w:lang w:val="en-US" w:eastAsia="zh-CN"/>
              </w:rPr>
              <w:t>合计</w:t>
            </w:r>
          </w:p>
        </w:tc>
        <w:tc>
          <w:tcPr>
            <w:tcW w:w="306" w:type="pct"/>
            <w:tcBorders>
              <w:tl2br w:val="nil"/>
              <w:tr2bl w:val="nil"/>
            </w:tcBorders>
            <w:shd w:val="clear" w:color="auto" w:fill="auto"/>
            <w:tcMar>
              <w:top w:w="12" w:type="dxa"/>
              <w:left w:w="12" w:type="dxa"/>
              <w:right w:w="12" w:type="dxa"/>
            </w:tcMar>
            <w:vAlign w:val="bottom"/>
          </w:tcPr>
          <w:p w14:paraId="31EF1498">
            <w:pPr>
              <w:widowControl/>
              <w:jc w:val="center"/>
              <w:textAlignment w:val="center"/>
              <w:rPr>
                <w:rFonts w:hint="default" w:asciiTheme="minorEastAsia" w:hAnsiTheme="minorEastAsia" w:eastAsiaTheme="minorEastAsia" w:cstheme="minorEastAsia"/>
                <w:b/>
                <w:bCs w:val="0"/>
                <w:kern w:val="0"/>
                <w:sz w:val="17"/>
                <w:szCs w:val="17"/>
                <w:highlight w:val="none"/>
                <w:lang w:val="en-US" w:eastAsia="zh-CN"/>
              </w:rPr>
            </w:pPr>
            <w:r>
              <w:rPr>
                <w:rFonts w:hint="eastAsia" w:asciiTheme="minorEastAsia" w:hAnsiTheme="minorEastAsia" w:cstheme="minorEastAsia"/>
                <w:b/>
                <w:bCs/>
                <w:color w:val="auto"/>
                <w:sz w:val="17"/>
                <w:szCs w:val="17"/>
                <w:lang w:val="en-US" w:eastAsia="zh-CN"/>
              </w:rPr>
              <w:t>48</w:t>
            </w:r>
          </w:p>
        </w:tc>
        <w:tc>
          <w:tcPr>
            <w:tcW w:w="248" w:type="pct"/>
            <w:tcBorders>
              <w:tl2br w:val="nil"/>
              <w:tr2bl w:val="nil"/>
            </w:tcBorders>
            <w:shd w:val="clear" w:color="auto" w:fill="auto"/>
            <w:tcMar>
              <w:top w:w="12" w:type="dxa"/>
              <w:left w:w="12" w:type="dxa"/>
              <w:right w:w="12" w:type="dxa"/>
            </w:tcMar>
            <w:vAlign w:val="bottom"/>
          </w:tcPr>
          <w:p w14:paraId="33772FF4">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
                <w:bCs/>
                <w:color w:val="auto"/>
                <w:sz w:val="17"/>
                <w:szCs w:val="17"/>
                <w:lang w:val="en-US" w:eastAsia="zh-CN"/>
              </w:rPr>
              <w:t>1188</w:t>
            </w:r>
          </w:p>
        </w:tc>
        <w:tc>
          <w:tcPr>
            <w:tcW w:w="285" w:type="pct"/>
            <w:tcBorders>
              <w:tl2br w:val="nil"/>
              <w:tr2bl w:val="nil"/>
            </w:tcBorders>
            <w:shd w:val="clear" w:color="auto" w:fill="auto"/>
            <w:tcMar>
              <w:top w:w="12" w:type="dxa"/>
              <w:left w:w="12" w:type="dxa"/>
              <w:right w:w="12" w:type="dxa"/>
            </w:tcMar>
            <w:vAlign w:val="bottom"/>
          </w:tcPr>
          <w:p w14:paraId="6F57949E">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
                <w:bCs/>
                <w:color w:val="auto"/>
                <w:sz w:val="17"/>
                <w:szCs w:val="17"/>
                <w:lang w:val="en-US" w:eastAsia="zh-CN"/>
              </w:rPr>
              <w:t>184</w:t>
            </w:r>
          </w:p>
        </w:tc>
        <w:tc>
          <w:tcPr>
            <w:tcW w:w="301" w:type="pct"/>
            <w:tcBorders>
              <w:tl2br w:val="nil"/>
              <w:tr2bl w:val="nil"/>
            </w:tcBorders>
            <w:shd w:val="clear" w:color="auto" w:fill="auto"/>
            <w:tcMar>
              <w:top w:w="12" w:type="dxa"/>
              <w:left w:w="12" w:type="dxa"/>
              <w:right w:w="12" w:type="dxa"/>
            </w:tcMar>
            <w:vAlign w:val="bottom"/>
          </w:tcPr>
          <w:p w14:paraId="374BB457">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
                <w:bCs/>
                <w:color w:val="auto"/>
                <w:sz w:val="17"/>
                <w:szCs w:val="17"/>
                <w:lang w:val="en-US" w:eastAsia="zh-CN"/>
              </w:rPr>
              <w:t>1004</w:t>
            </w:r>
          </w:p>
        </w:tc>
        <w:tc>
          <w:tcPr>
            <w:tcW w:w="295" w:type="pct"/>
            <w:tcBorders>
              <w:tl2br w:val="nil"/>
              <w:tr2bl w:val="nil"/>
            </w:tcBorders>
            <w:shd w:val="clear" w:color="auto" w:fill="auto"/>
            <w:tcMar>
              <w:top w:w="12" w:type="dxa"/>
              <w:left w:w="12" w:type="dxa"/>
              <w:right w:w="12" w:type="dxa"/>
            </w:tcMar>
            <w:vAlign w:val="center"/>
          </w:tcPr>
          <w:p w14:paraId="788299E7">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1760B1EA">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c>
          <w:tcPr>
            <w:tcW w:w="811" w:type="pct"/>
            <w:tcBorders>
              <w:tl2br w:val="nil"/>
              <w:tr2bl w:val="nil"/>
            </w:tcBorders>
            <w:shd w:val="clear" w:color="auto" w:fill="auto"/>
            <w:tcMar>
              <w:top w:w="12" w:type="dxa"/>
              <w:left w:w="12" w:type="dxa"/>
              <w:right w:w="12" w:type="dxa"/>
            </w:tcMar>
            <w:vAlign w:val="center"/>
          </w:tcPr>
          <w:p w14:paraId="197418EB">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5121FF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DB72FD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restart"/>
            <w:tcBorders>
              <w:tl2br w:val="nil"/>
              <w:tr2bl w:val="nil"/>
            </w:tcBorders>
            <w:shd w:val="clear" w:color="auto" w:fill="auto"/>
            <w:tcMar>
              <w:top w:w="12" w:type="dxa"/>
              <w:left w:w="12" w:type="dxa"/>
              <w:right w:w="12" w:type="dxa"/>
            </w:tcMar>
            <w:vAlign w:val="center"/>
          </w:tcPr>
          <w:p w14:paraId="7A711406">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7F47D2BF">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限选</w:t>
            </w:r>
          </w:p>
          <w:p w14:paraId="44AC739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课程</w:t>
            </w:r>
          </w:p>
        </w:tc>
        <w:tc>
          <w:tcPr>
            <w:tcW w:w="645" w:type="pct"/>
            <w:tcBorders>
              <w:tl2br w:val="nil"/>
              <w:tr2bl w:val="nil"/>
            </w:tcBorders>
            <w:shd w:val="clear" w:color="auto" w:fill="auto"/>
            <w:tcMar>
              <w:top w:w="12" w:type="dxa"/>
              <w:left w:w="12" w:type="dxa"/>
              <w:right w:w="12" w:type="dxa"/>
            </w:tcMar>
            <w:vAlign w:val="center"/>
          </w:tcPr>
          <w:p w14:paraId="7392C786">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1225246031</w:t>
            </w:r>
          </w:p>
        </w:tc>
        <w:tc>
          <w:tcPr>
            <w:tcW w:w="1250" w:type="pct"/>
            <w:tcBorders>
              <w:tl2br w:val="nil"/>
              <w:tr2bl w:val="nil"/>
            </w:tcBorders>
            <w:shd w:val="clear" w:color="auto" w:fill="auto"/>
            <w:noWrap/>
            <w:tcMar>
              <w:top w:w="12" w:type="dxa"/>
              <w:left w:w="12" w:type="dxa"/>
              <w:right w:w="12" w:type="dxa"/>
            </w:tcMar>
            <w:vAlign w:val="center"/>
          </w:tcPr>
          <w:p w14:paraId="3E3C61EF">
            <w:pPr>
              <w:widowControl/>
              <w:jc w:val="left"/>
              <w:textAlignment w:val="center"/>
              <w:rPr>
                <w:rFonts w:hint="eastAsia" w:asciiTheme="minorEastAsia" w:hAnsiTheme="minorEastAsia" w:eastAsiaTheme="minorEastAsia" w:cstheme="minorEastAsia"/>
                <w:color w:val="auto"/>
                <w:sz w:val="17"/>
                <w:szCs w:val="17"/>
                <w:lang w:val="en-US" w:eastAsia="zh-CN"/>
              </w:rPr>
            </w:pPr>
            <w:r>
              <w:rPr>
                <w:rFonts w:hint="eastAsia" w:asciiTheme="minorEastAsia" w:hAnsiTheme="minorEastAsia" w:eastAsiaTheme="minorEastAsia" w:cstheme="minorEastAsia"/>
                <w:color w:val="auto"/>
                <w:sz w:val="17"/>
                <w:szCs w:val="17"/>
                <w:lang w:val="en-US" w:eastAsia="zh-CN"/>
              </w:rPr>
              <w:t>事故车查勘与定损</w:t>
            </w:r>
          </w:p>
          <w:p w14:paraId="021282A6">
            <w:pPr>
              <w:widowControl/>
              <w:jc w:val="left"/>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imes New Roman" w:hAnsi="Times New Roman" w:cs="Times New Roman" w:eastAsiaTheme="minorEastAsia"/>
                <w:b w:val="0"/>
                <w:bCs/>
                <w:color w:val="auto"/>
                <w:kern w:val="0"/>
                <w:sz w:val="17"/>
                <w:szCs w:val="17"/>
                <w:lang w:val="en-US" w:eastAsia="zh-CN" w:bidi="ar"/>
              </w:rPr>
              <w:t>Investigation and damage assessment of accident vehicles</w:t>
            </w:r>
          </w:p>
        </w:tc>
        <w:tc>
          <w:tcPr>
            <w:tcW w:w="306" w:type="pct"/>
            <w:tcBorders>
              <w:tl2br w:val="nil"/>
              <w:tr2bl w:val="nil"/>
            </w:tcBorders>
            <w:shd w:val="clear" w:color="auto" w:fill="auto"/>
            <w:tcMar>
              <w:top w:w="12" w:type="dxa"/>
              <w:left w:w="12" w:type="dxa"/>
              <w:right w:w="12" w:type="dxa"/>
            </w:tcMar>
            <w:vAlign w:val="center"/>
          </w:tcPr>
          <w:p w14:paraId="0975A497">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248" w:type="pct"/>
            <w:tcBorders>
              <w:tl2br w:val="nil"/>
              <w:tr2bl w:val="nil"/>
            </w:tcBorders>
            <w:shd w:val="clear" w:color="auto" w:fill="auto"/>
            <w:tcMar>
              <w:top w:w="12" w:type="dxa"/>
              <w:left w:w="12" w:type="dxa"/>
              <w:right w:w="12" w:type="dxa"/>
            </w:tcMar>
            <w:vAlign w:val="center"/>
          </w:tcPr>
          <w:p w14:paraId="738FF2E6">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48</w:t>
            </w:r>
          </w:p>
        </w:tc>
        <w:tc>
          <w:tcPr>
            <w:tcW w:w="285" w:type="pct"/>
            <w:tcBorders>
              <w:tl2br w:val="nil"/>
              <w:tr2bl w:val="nil"/>
            </w:tcBorders>
            <w:shd w:val="clear" w:color="auto" w:fill="auto"/>
            <w:tcMar>
              <w:top w:w="12" w:type="dxa"/>
              <w:left w:w="12" w:type="dxa"/>
              <w:right w:w="12" w:type="dxa"/>
            </w:tcMar>
            <w:vAlign w:val="center"/>
          </w:tcPr>
          <w:p w14:paraId="1CC9A524">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tcMar>
              <w:top w:w="12" w:type="dxa"/>
              <w:left w:w="12" w:type="dxa"/>
              <w:right w:w="12" w:type="dxa"/>
            </w:tcMar>
            <w:vAlign w:val="center"/>
          </w:tcPr>
          <w:p w14:paraId="16FADB62">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295" w:type="pct"/>
            <w:tcBorders>
              <w:tl2br w:val="nil"/>
              <w:tr2bl w:val="nil"/>
            </w:tcBorders>
            <w:shd w:val="clear" w:color="auto" w:fill="auto"/>
            <w:tcMar>
              <w:top w:w="12" w:type="dxa"/>
              <w:left w:w="12" w:type="dxa"/>
              <w:right w:w="12" w:type="dxa"/>
            </w:tcMar>
            <w:vAlign w:val="center"/>
          </w:tcPr>
          <w:p w14:paraId="6EA9F956">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6DA33310">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811" w:type="pct"/>
            <w:tcBorders>
              <w:tl2br w:val="nil"/>
              <w:tr2bl w:val="nil"/>
            </w:tcBorders>
            <w:shd w:val="clear" w:color="auto" w:fill="auto"/>
            <w:tcMar>
              <w:top w:w="12" w:type="dxa"/>
              <w:left w:w="12" w:type="dxa"/>
              <w:right w:w="12" w:type="dxa"/>
            </w:tcMar>
            <w:vAlign w:val="center"/>
          </w:tcPr>
          <w:p w14:paraId="518407AE">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407DFB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1E4C9C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8444C1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62D1969">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1225246020</w:t>
            </w:r>
          </w:p>
        </w:tc>
        <w:tc>
          <w:tcPr>
            <w:tcW w:w="1250" w:type="pct"/>
            <w:tcBorders>
              <w:tl2br w:val="nil"/>
              <w:tr2bl w:val="nil"/>
            </w:tcBorders>
            <w:shd w:val="clear" w:color="auto" w:fill="auto"/>
            <w:tcMar>
              <w:top w:w="12" w:type="dxa"/>
              <w:left w:w="12" w:type="dxa"/>
              <w:right w:w="12" w:type="dxa"/>
            </w:tcMar>
            <w:vAlign w:val="center"/>
          </w:tcPr>
          <w:p w14:paraId="7BFD1B1B">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二手车鉴定与评估</w:t>
            </w:r>
          </w:p>
          <w:p w14:paraId="0B67BC9A">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Second-hand car appraisal and evaluation</w:t>
            </w:r>
          </w:p>
        </w:tc>
        <w:tc>
          <w:tcPr>
            <w:tcW w:w="306" w:type="pct"/>
            <w:tcBorders>
              <w:tl2br w:val="nil"/>
              <w:tr2bl w:val="nil"/>
            </w:tcBorders>
            <w:shd w:val="clear" w:color="auto" w:fill="auto"/>
            <w:tcMar>
              <w:top w:w="12" w:type="dxa"/>
              <w:left w:w="12" w:type="dxa"/>
              <w:right w:w="12" w:type="dxa"/>
            </w:tcMar>
            <w:vAlign w:val="center"/>
          </w:tcPr>
          <w:p w14:paraId="3FD7EFF8">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1CF3C601">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kern w:val="2"/>
                <w:sz w:val="17"/>
                <w:szCs w:val="17"/>
                <w:lang w:val="en-US" w:eastAsia="zh-CN" w:bidi="ar-SA"/>
              </w:rPr>
              <w:t>32</w:t>
            </w:r>
          </w:p>
        </w:tc>
        <w:tc>
          <w:tcPr>
            <w:tcW w:w="285" w:type="pct"/>
            <w:tcBorders>
              <w:tl2br w:val="nil"/>
              <w:tr2bl w:val="nil"/>
            </w:tcBorders>
            <w:shd w:val="clear" w:color="auto" w:fill="auto"/>
            <w:tcMar>
              <w:top w:w="12" w:type="dxa"/>
              <w:left w:w="12" w:type="dxa"/>
              <w:right w:w="12" w:type="dxa"/>
            </w:tcMar>
            <w:vAlign w:val="center"/>
          </w:tcPr>
          <w:p w14:paraId="5E7E19B8">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kern w:val="2"/>
                <w:sz w:val="17"/>
                <w:szCs w:val="17"/>
                <w:lang w:val="en-US" w:eastAsia="zh-CN" w:bidi="ar-SA"/>
              </w:rPr>
              <w:t>24</w:t>
            </w:r>
          </w:p>
        </w:tc>
        <w:tc>
          <w:tcPr>
            <w:tcW w:w="301" w:type="pct"/>
            <w:tcBorders>
              <w:tl2br w:val="nil"/>
              <w:tr2bl w:val="nil"/>
            </w:tcBorders>
            <w:shd w:val="clear" w:color="auto" w:fill="auto"/>
            <w:tcMar>
              <w:top w:w="12" w:type="dxa"/>
              <w:left w:w="12" w:type="dxa"/>
              <w:right w:w="12" w:type="dxa"/>
            </w:tcMar>
            <w:vAlign w:val="center"/>
          </w:tcPr>
          <w:p w14:paraId="6471F8F0">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kern w:val="2"/>
                <w:sz w:val="17"/>
                <w:szCs w:val="17"/>
                <w:lang w:val="en-US" w:eastAsia="zh-CN" w:bidi="ar-SA"/>
              </w:rPr>
              <w:t>8</w:t>
            </w:r>
          </w:p>
        </w:tc>
        <w:tc>
          <w:tcPr>
            <w:tcW w:w="295" w:type="pct"/>
            <w:tcBorders>
              <w:tl2br w:val="nil"/>
              <w:tr2bl w:val="nil"/>
            </w:tcBorders>
            <w:shd w:val="clear" w:color="auto" w:fill="auto"/>
            <w:tcMar>
              <w:top w:w="12" w:type="dxa"/>
              <w:left w:w="12" w:type="dxa"/>
              <w:right w:w="12" w:type="dxa"/>
            </w:tcMar>
            <w:vAlign w:val="center"/>
          </w:tcPr>
          <w:p w14:paraId="30B6ED30">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743DD4D5">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811" w:type="pct"/>
            <w:tcBorders>
              <w:tl2br w:val="nil"/>
              <w:tr2bl w:val="nil"/>
            </w:tcBorders>
            <w:shd w:val="clear" w:color="auto" w:fill="auto"/>
            <w:tcMar>
              <w:top w:w="12" w:type="dxa"/>
              <w:left w:w="12" w:type="dxa"/>
              <w:right w:w="12" w:type="dxa"/>
            </w:tcMar>
            <w:vAlign w:val="center"/>
          </w:tcPr>
          <w:p w14:paraId="64D587FC">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330734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C3E3B1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F30CD2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33F289CE">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1225146027</w:t>
            </w:r>
          </w:p>
        </w:tc>
        <w:tc>
          <w:tcPr>
            <w:tcW w:w="1250" w:type="pct"/>
            <w:tcBorders>
              <w:tl2br w:val="nil"/>
              <w:tr2bl w:val="nil"/>
            </w:tcBorders>
            <w:shd w:val="clear" w:color="auto" w:fill="auto"/>
            <w:tcMar>
              <w:top w:w="12" w:type="dxa"/>
              <w:left w:w="12" w:type="dxa"/>
              <w:right w:w="12" w:type="dxa"/>
            </w:tcMar>
            <w:vAlign w:val="center"/>
          </w:tcPr>
          <w:p w14:paraId="116FDFAD">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汽车电器与电子控制技术Automotive electrical and electronic control technology</w:t>
            </w:r>
          </w:p>
        </w:tc>
        <w:tc>
          <w:tcPr>
            <w:tcW w:w="306" w:type="pct"/>
            <w:tcBorders>
              <w:tl2br w:val="nil"/>
              <w:tr2bl w:val="nil"/>
            </w:tcBorders>
            <w:shd w:val="clear" w:color="auto" w:fill="auto"/>
            <w:tcMar>
              <w:top w:w="12" w:type="dxa"/>
              <w:left w:w="12" w:type="dxa"/>
              <w:right w:w="12" w:type="dxa"/>
            </w:tcMar>
            <w:vAlign w:val="center"/>
          </w:tcPr>
          <w:p w14:paraId="2172AB8D">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7762B968">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32</w:t>
            </w:r>
          </w:p>
        </w:tc>
        <w:tc>
          <w:tcPr>
            <w:tcW w:w="285" w:type="pct"/>
            <w:tcBorders>
              <w:tl2br w:val="nil"/>
              <w:tr2bl w:val="nil"/>
            </w:tcBorders>
            <w:shd w:val="clear" w:color="auto" w:fill="auto"/>
            <w:noWrap/>
            <w:tcMar>
              <w:top w:w="12" w:type="dxa"/>
              <w:left w:w="12" w:type="dxa"/>
              <w:right w:w="12" w:type="dxa"/>
            </w:tcMar>
            <w:vAlign w:val="center"/>
          </w:tcPr>
          <w:p w14:paraId="5E588F2E">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301" w:type="pct"/>
            <w:tcBorders>
              <w:tl2br w:val="nil"/>
              <w:tr2bl w:val="nil"/>
            </w:tcBorders>
            <w:shd w:val="clear" w:color="auto" w:fill="auto"/>
            <w:tcMar>
              <w:top w:w="12" w:type="dxa"/>
              <w:left w:w="12" w:type="dxa"/>
              <w:right w:w="12" w:type="dxa"/>
            </w:tcMar>
            <w:vAlign w:val="center"/>
          </w:tcPr>
          <w:p w14:paraId="3274EA4C">
            <w:pPr>
              <w:jc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08E441DF">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417F153D">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811" w:type="pct"/>
            <w:tcBorders>
              <w:tl2br w:val="nil"/>
              <w:tr2bl w:val="nil"/>
            </w:tcBorders>
            <w:shd w:val="clear" w:color="auto" w:fill="auto"/>
            <w:tcMar>
              <w:top w:w="12" w:type="dxa"/>
              <w:left w:w="12" w:type="dxa"/>
              <w:right w:w="12" w:type="dxa"/>
            </w:tcMar>
            <w:vAlign w:val="center"/>
          </w:tcPr>
          <w:p w14:paraId="23532127">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3A29B9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EDEB7E1">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AF3993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97E2B6B">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1225246033</w:t>
            </w:r>
          </w:p>
        </w:tc>
        <w:tc>
          <w:tcPr>
            <w:tcW w:w="1250" w:type="pct"/>
            <w:tcBorders>
              <w:tl2br w:val="nil"/>
              <w:tr2bl w:val="nil"/>
            </w:tcBorders>
            <w:shd w:val="clear" w:color="auto" w:fill="auto"/>
            <w:tcMar>
              <w:top w:w="12" w:type="dxa"/>
              <w:left w:w="12" w:type="dxa"/>
              <w:right w:w="12" w:type="dxa"/>
            </w:tcMar>
            <w:vAlign w:val="center"/>
          </w:tcPr>
          <w:p w14:paraId="21DAB303">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汽车涂装技术</w:t>
            </w:r>
          </w:p>
          <w:p w14:paraId="7CA3A3F5">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Automobile painting technology</w:t>
            </w:r>
          </w:p>
        </w:tc>
        <w:tc>
          <w:tcPr>
            <w:tcW w:w="306" w:type="pct"/>
            <w:tcBorders>
              <w:tl2br w:val="nil"/>
              <w:tr2bl w:val="nil"/>
            </w:tcBorders>
            <w:shd w:val="clear" w:color="auto" w:fill="auto"/>
            <w:tcMar>
              <w:top w:w="12" w:type="dxa"/>
              <w:left w:w="12" w:type="dxa"/>
              <w:right w:w="12" w:type="dxa"/>
            </w:tcMar>
            <w:vAlign w:val="center"/>
          </w:tcPr>
          <w:p w14:paraId="0D270B5F">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w:t>
            </w:r>
          </w:p>
        </w:tc>
        <w:tc>
          <w:tcPr>
            <w:tcW w:w="248" w:type="pct"/>
            <w:tcBorders>
              <w:tl2br w:val="nil"/>
              <w:tr2bl w:val="nil"/>
            </w:tcBorders>
            <w:shd w:val="clear" w:color="auto" w:fill="auto"/>
            <w:tcMar>
              <w:top w:w="12" w:type="dxa"/>
              <w:left w:w="12" w:type="dxa"/>
              <w:right w:w="12" w:type="dxa"/>
            </w:tcMar>
            <w:vAlign w:val="center"/>
          </w:tcPr>
          <w:p w14:paraId="5695E9DA">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48</w:t>
            </w:r>
          </w:p>
        </w:tc>
        <w:tc>
          <w:tcPr>
            <w:tcW w:w="285" w:type="pct"/>
            <w:tcBorders>
              <w:tl2br w:val="nil"/>
              <w:tr2bl w:val="nil"/>
            </w:tcBorders>
            <w:shd w:val="clear" w:color="auto" w:fill="auto"/>
            <w:noWrap/>
            <w:tcMar>
              <w:top w:w="12" w:type="dxa"/>
              <w:left w:w="12" w:type="dxa"/>
              <w:right w:w="12" w:type="dxa"/>
            </w:tcMar>
            <w:vAlign w:val="center"/>
          </w:tcPr>
          <w:p w14:paraId="6670C95D">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tcMar>
              <w:top w:w="12" w:type="dxa"/>
              <w:left w:w="12" w:type="dxa"/>
              <w:right w:w="12" w:type="dxa"/>
            </w:tcMar>
            <w:vAlign w:val="center"/>
          </w:tcPr>
          <w:p w14:paraId="17CEDDEE">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295" w:type="pct"/>
            <w:tcBorders>
              <w:tl2br w:val="nil"/>
              <w:tr2bl w:val="nil"/>
            </w:tcBorders>
            <w:shd w:val="clear" w:color="auto" w:fill="auto"/>
            <w:tcMar>
              <w:top w:w="12" w:type="dxa"/>
              <w:left w:w="12" w:type="dxa"/>
              <w:right w:w="12" w:type="dxa"/>
            </w:tcMar>
            <w:vAlign w:val="center"/>
          </w:tcPr>
          <w:p w14:paraId="100F5A1B">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207096B5">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w:t>
            </w:r>
          </w:p>
        </w:tc>
        <w:tc>
          <w:tcPr>
            <w:tcW w:w="811" w:type="pct"/>
            <w:tcBorders>
              <w:tl2br w:val="nil"/>
              <w:tr2bl w:val="nil"/>
            </w:tcBorders>
            <w:shd w:val="clear" w:color="auto" w:fill="auto"/>
            <w:tcMar>
              <w:top w:w="12" w:type="dxa"/>
              <w:left w:w="12" w:type="dxa"/>
              <w:right w:w="12" w:type="dxa"/>
            </w:tcMar>
            <w:vAlign w:val="center"/>
          </w:tcPr>
          <w:p w14:paraId="43159A44">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237811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3AD11F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F30423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ABDFE5D">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1225246034</w:t>
            </w:r>
          </w:p>
        </w:tc>
        <w:tc>
          <w:tcPr>
            <w:tcW w:w="1250" w:type="pct"/>
            <w:tcBorders>
              <w:tl2br w:val="nil"/>
              <w:tr2bl w:val="nil"/>
            </w:tcBorders>
            <w:shd w:val="clear" w:color="auto" w:fill="auto"/>
            <w:tcMar>
              <w:top w:w="12" w:type="dxa"/>
              <w:left w:w="12" w:type="dxa"/>
              <w:right w:w="12" w:type="dxa"/>
            </w:tcMar>
            <w:vAlign w:val="center"/>
          </w:tcPr>
          <w:p w14:paraId="5553C003">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汽车维修技术及设备Automobile maintenance technology and equipment</w:t>
            </w:r>
          </w:p>
        </w:tc>
        <w:tc>
          <w:tcPr>
            <w:tcW w:w="306" w:type="pct"/>
            <w:tcBorders>
              <w:tl2br w:val="nil"/>
              <w:tr2bl w:val="nil"/>
            </w:tcBorders>
            <w:shd w:val="clear" w:color="auto" w:fill="auto"/>
            <w:tcMar>
              <w:top w:w="12" w:type="dxa"/>
              <w:left w:w="12" w:type="dxa"/>
              <w:right w:w="12" w:type="dxa"/>
            </w:tcMar>
            <w:vAlign w:val="center"/>
          </w:tcPr>
          <w:p w14:paraId="1C7EA76E">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5AD24618">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32</w:t>
            </w:r>
          </w:p>
        </w:tc>
        <w:tc>
          <w:tcPr>
            <w:tcW w:w="285" w:type="pct"/>
            <w:tcBorders>
              <w:tl2br w:val="nil"/>
              <w:tr2bl w:val="nil"/>
            </w:tcBorders>
            <w:shd w:val="clear" w:color="auto" w:fill="auto"/>
            <w:noWrap/>
            <w:tcMar>
              <w:top w:w="12" w:type="dxa"/>
              <w:left w:w="12" w:type="dxa"/>
              <w:right w:w="12" w:type="dxa"/>
            </w:tcMar>
            <w:vAlign w:val="center"/>
          </w:tcPr>
          <w:p w14:paraId="3FD900BA">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24</w:t>
            </w:r>
          </w:p>
        </w:tc>
        <w:tc>
          <w:tcPr>
            <w:tcW w:w="301" w:type="pct"/>
            <w:tcBorders>
              <w:tl2br w:val="nil"/>
              <w:tr2bl w:val="nil"/>
            </w:tcBorders>
            <w:shd w:val="clear" w:color="auto" w:fill="auto"/>
            <w:tcMar>
              <w:top w:w="12" w:type="dxa"/>
              <w:left w:w="12" w:type="dxa"/>
              <w:right w:w="12" w:type="dxa"/>
            </w:tcMar>
            <w:vAlign w:val="center"/>
          </w:tcPr>
          <w:p w14:paraId="03E9CE46">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00E3B93A">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5D083F52">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5</w:t>
            </w:r>
          </w:p>
        </w:tc>
        <w:tc>
          <w:tcPr>
            <w:tcW w:w="811" w:type="pct"/>
            <w:tcBorders>
              <w:tl2br w:val="nil"/>
              <w:tr2bl w:val="nil"/>
            </w:tcBorders>
            <w:shd w:val="clear" w:color="auto" w:fill="auto"/>
            <w:tcMar>
              <w:top w:w="12" w:type="dxa"/>
              <w:left w:w="12" w:type="dxa"/>
              <w:right w:w="12" w:type="dxa"/>
            </w:tcMar>
            <w:vAlign w:val="center"/>
          </w:tcPr>
          <w:p w14:paraId="5DD19E83">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6AF242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01B8F9D">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690683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4471" w:type="pct"/>
            <w:gridSpan w:val="9"/>
            <w:tcBorders>
              <w:tl2br w:val="nil"/>
              <w:tr2bl w:val="nil"/>
            </w:tcBorders>
            <w:shd w:val="clear" w:color="auto" w:fill="auto"/>
            <w:tcMar>
              <w:top w:w="12" w:type="dxa"/>
              <w:left w:w="12" w:type="dxa"/>
              <w:right w:w="12" w:type="dxa"/>
            </w:tcMar>
            <w:vAlign w:val="center"/>
          </w:tcPr>
          <w:p w14:paraId="71D9D26F">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宋体" w:hAnsi="宋体" w:eastAsia="宋体" w:cs="宋体"/>
                <w:b/>
                <w:bCs/>
                <w:color w:val="auto"/>
                <w:kern w:val="0"/>
                <w:sz w:val="18"/>
                <w:szCs w:val="18"/>
                <w:lang w:bidi="ar"/>
              </w:rPr>
              <w:t>选修</w:t>
            </w:r>
            <w:r>
              <w:rPr>
                <w:rFonts w:hint="eastAsia" w:ascii="宋体" w:hAnsi="宋体" w:eastAsia="宋体" w:cs="宋体"/>
                <w:b/>
                <w:bCs/>
                <w:color w:val="auto"/>
                <w:kern w:val="0"/>
                <w:sz w:val="18"/>
                <w:szCs w:val="18"/>
                <w:lang w:val="en-US" w:eastAsia="zh-CN" w:bidi="ar"/>
              </w:rPr>
              <w:t>12</w:t>
            </w:r>
            <w:r>
              <w:rPr>
                <w:rFonts w:hint="eastAsia" w:ascii="宋体" w:hAnsi="宋体" w:eastAsia="宋体" w:cs="宋体"/>
                <w:b/>
                <w:bCs/>
                <w:color w:val="auto"/>
                <w:kern w:val="0"/>
                <w:sz w:val="18"/>
                <w:szCs w:val="18"/>
                <w:lang w:bidi="ar"/>
              </w:rPr>
              <w:t>学分</w:t>
            </w:r>
          </w:p>
        </w:tc>
      </w:tr>
      <w:tr w14:paraId="177FCC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4EF3F07">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366AF5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38C1F03">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1225246032</w:t>
            </w:r>
          </w:p>
        </w:tc>
        <w:tc>
          <w:tcPr>
            <w:tcW w:w="1250" w:type="pct"/>
            <w:tcBorders>
              <w:tl2br w:val="nil"/>
              <w:tr2bl w:val="nil"/>
            </w:tcBorders>
            <w:shd w:val="clear" w:color="auto" w:fill="auto"/>
            <w:noWrap/>
            <w:tcMar>
              <w:top w:w="12" w:type="dxa"/>
              <w:left w:w="12" w:type="dxa"/>
              <w:right w:w="12" w:type="dxa"/>
            </w:tcMar>
            <w:vAlign w:val="center"/>
          </w:tcPr>
          <w:p w14:paraId="214AD8FC">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金属工艺学</w:t>
            </w:r>
          </w:p>
          <w:p w14:paraId="186440D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Metalworking technology</w:t>
            </w:r>
          </w:p>
        </w:tc>
        <w:tc>
          <w:tcPr>
            <w:tcW w:w="306" w:type="pct"/>
            <w:tcBorders>
              <w:tl2br w:val="nil"/>
              <w:tr2bl w:val="nil"/>
            </w:tcBorders>
            <w:shd w:val="clear" w:color="auto" w:fill="auto"/>
            <w:noWrap/>
            <w:tcMar>
              <w:top w:w="12" w:type="dxa"/>
              <w:left w:w="12" w:type="dxa"/>
              <w:right w:w="12" w:type="dxa"/>
            </w:tcMar>
            <w:vAlign w:val="center"/>
          </w:tcPr>
          <w:p w14:paraId="09C05EA3">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w:t>
            </w:r>
          </w:p>
        </w:tc>
        <w:tc>
          <w:tcPr>
            <w:tcW w:w="248" w:type="pct"/>
            <w:tcBorders>
              <w:tl2br w:val="nil"/>
              <w:tr2bl w:val="nil"/>
            </w:tcBorders>
            <w:shd w:val="clear" w:color="auto" w:fill="auto"/>
            <w:noWrap/>
            <w:tcMar>
              <w:top w:w="12" w:type="dxa"/>
              <w:left w:w="12" w:type="dxa"/>
              <w:right w:w="12" w:type="dxa"/>
            </w:tcMar>
            <w:vAlign w:val="center"/>
          </w:tcPr>
          <w:p w14:paraId="10206693">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285" w:type="pct"/>
            <w:tcBorders>
              <w:tl2br w:val="nil"/>
              <w:tr2bl w:val="nil"/>
            </w:tcBorders>
            <w:shd w:val="clear" w:color="auto" w:fill="auto"/>
            <w:noWrap/>
            <w:tcMar>
              <w:top w:w="12" w:type="dxa"/>
              <w:left w:w="12" w:type="dxa"/>
              <w:right w:w="12" w:type="dxa"/>
            </w:tcMar>
            <w:vAlign w:val="center"/>
          </w:tcPr>
          <w:p w14:paraId="00888EFE">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noWrap/>
            <w:tcMar>
              <w:top w:w="12" w:type="dxa"/>
              <w:left w:w="12" w:type="dxa"/>
              <w:right w:w="12" w:type="dxa"/>
            </w:tcMar>
            <w:vAlign w:val="center"/>
          </w:tcPr>
          <w:p w14:paraId="36D839F4">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8</w:t>
            </w:r>
          </w:p>
        </w:tc>
        <w:tc>
          <w:tcPr>
            <w:tcW w:w="295" w:type="pct"/>
            <w:tcBorders>
              <w:tl2br w:val="nil"/>
              <w:tr2bl w:val="nil"/>
            </w:tcBorders>
            <w:shd w:val="clear" w:color="auto" w:fill="auto"/>
            <w:noWrap/>
            <w:tcMar>
              <w:top w:w="12" w:type="dxa"/>
              <w:left w:w="12" w:type="dxa"/>
              <w:right w:w="12" w:type="dxa"/>
            </w:tcMar>
            <w:vAlign w:val="center"/>
          </w:tcPr>
          <w:p w14:paraId="2C6080A6">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tcMar>
              <w:top w:w="12" w:type="dxa"/>
              <w:left w:w="12" w:type="dxa"/>
              <w:right w:w="12" w:type="dxa"/>
            </w:tcMar>
            <w:vAlign w:val="center"/>
          </w:tcPr>
          <w:p w14:paraId="405BF42B">
            <w:pPr>
              <w:widowControl/>
              <w:jc w:val="center"/>
              <w:textAlignment w:val="center"/>
              <w:rPr>
                <w:rFonts w:hint="eastAsia" w:asciiTheme="minorEastAsia" w:hAnsiTheme="minorEastAsia" w:eastAsiaTheme="minorEastAsia" w:cstheme="minorEastAsia"/>
                <w:color w:val="auto"/>
                <w:kern w:val="2"/>
                <w:sz w:val="17"/>
                <w:szCs w:val="17"/>
                <w:lang w:val="en-US" w:eastAsia="zh-CN" w:bidi="ar-SA"/>
              </w:rPr>
            </w:pPr>
            <w:r>
              <w:rPr>
                <w:rFonts w:hint="eastAsia" w:asciiTheme="minorEastAsia" w:hAnsiTheme="minorEastAsia" w:eastAsiaTheme="minorEastAsia" w:cstheme="minorEastAsia"/>
                <w:color w:val="auto"/>
                <w:sz w:val="17"/>
                <w:szCs w:val="17"/>
              </w:rPr>
              <w:t>3</w:t>
            </w:r>
          </w:p>
        </w:tc>
        <w:tc>
          <w:tcPr>
            <w:tcW w:w="811" w:type="pct"/>
            <w:tcBorders>
              <w:tl2br w:val="nil"/>
              <w:tr2bl w:val="nil"/>
            </w:tcBorders>
            <w:shd w:val="clear" w:color="auto" w:fill="auto"/>
            <w:tcMar>
              <w:top w:w="12" w:type="dxa"/>
              <w:left w:w="12" w:type="dxa"/>
              <w:right w:w="12" w:type="dxa"/>
            </w:tcMar>
            <w:vAlign w:val="center"/>
          </w:tcPr>
          <w:p w14:paraId="14F643D9">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68ACD0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C43441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284AD4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5492C27">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1225146021</w:t>
            </w:r>
          </w:p>
        </w:tc>
        <w:tc>
          <w:tcPr>
            <w:tcW w:w="1250" w:type="pct"/>
            <w:tcBorders>
              <w:tl2br w:val="nil"/>
              <w:tr2bl w:val="nil"/>
            </w:tcBorders>
            <w:shd w:val="clear" w:color="auto" w:fill="auto"/>
            <w:tcMar>
              <w:top w:w="12" w:type="dxa"/>
              <w:left w:w="12" w:type="dxa"/>
              <w:right w:w="12" w:type="dxa"/>
            </w:tcMar>
            <w:vAlign w:val="center"/>
          </w:tcPr>
          <w:p w14:paraId="14D3C777">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汽车文化</w:t>
            </w:r>
          </w:p>
          <w:p w14:paraId="7D25E773">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Automobile culture</w:t>
            </w:r>
          </w:p>
        </w:tc>
        <w:tc>
          <w:tcPr>
            <w:tcW w:w="306" w:type="pct"/>
            <w:tcBorders>
              <w:tl2br w:val="nil"/>
              <w:tr2bl w:val="nil"/>
            </w:tcBorders>
            <w:shd w:val="clear" w:color="auto" w:fill="auto"/>
            <w:tcMar>
              <w:top w:w="12" w:type="dxa"/>
              <w:left w:w="12" w:type="dxa"/>
              <w:right w:w="12" w:type="dxa"/>
            </w:tcMar>
            <w:vAlign w:val="center"/>
          </w:tcPr>
          <w:p w14:paraId="3CC2A993">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kern w:val="2"/>
                <w:sz w:val="17"/>
                <w:szCs w:val="17"/>
                <w:lang w:val="en-US" w:eastAsia="zh-CN" w:bidi="ar-SA"/>
              </w:rPr>
              <w:t>1</w:t>
            </w:r>
          </w:p>
        </w:tc>
        <w:tc>
          <w:tcPr>
            <w:tcW w:w="248" w:type="pct"/>
            <w:tcBorders>
              <w:tl2br w:val="nil"/>
              <w:tr2bl w:val="nil"/>
            </w:tcBorders>
            <w:shd w:val="clear" w:color="auto" w:fill="auto"/>
            <w:tcMar>
              <w:top w:w="12" w:type="dxa"/>
              <w:left w:w="12" w:type="dxa"/>
              <w:right w:w="12" w:type="dxa"/>
            </w:tcMar>
            <w:vAlign w:val="center"/>
          </w:tcPr>
          <w:p w14:paraId="2A3FCDA3">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16</w:t>
            </w:r>
          </w:p>
        </w:tc>
        <w:tc>
          <w:tcPr>
            <w:tcW w:w="285" w:type="pct"/>
            <w:tcBorders>
              <w:tl2br w:val="nil"/>
              <w:tr2bl w:val="nil"/>
            </w:tcBorders>
            <w:shd w:val="clear" w:color="auto" w:fill="auto"/>
            <w:tcMar>
              <w:top w:w="12" w:type="dxa"/>
              <w:left w:w="12" w:type="dxa"/>
              <w:right w:w="12" w:type="dxa"/>
            </w:tcMar>
            <w:vAlign w:val="center"/>
          </w:tcPr>
          <w:p w14:paraId="7A075F19">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16</w:t>
            </w:r>
          </w:p>
        </w:tc>
        <w:tc>
          <w:tcPr>
            <w:tcW w:w="301" w:type="pct"/>
            <w:tcBorders>
              <w:tl2br w:val="nil"/>
              <w:tr2bl w:val="nil"/>
            </w:tcBorders>
            <w:shd w:val="clear" w:color="auto" w:fill="auto"/>
            <w:tcMar>
              <w:top w:w="12" w:type="dxa"/>
              <w:left w:w="12" w:type="dxa"/>
              <w:right w:w="12" w:type="dxa"/>
            </w:tcMar>
            <w:vAlign w:val="center"/>
          </w:tcPr>
          <w:p w14:paraId="15590FAE">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0</w:t>
            </w:r>
          </w:p>
        </w:tc>
        <w:tc>
          <w:tcPr>
            <w:tcW w:w="295" w:type="pct"/>
            <w:tcBorders>
              <w:tl2br w:val="nil"/>
              <w:tr2bl w:val="nil"/>
            </w:tcBorders>
            <w:shd w:val="clear" w:color="auto" w:fill="auto"/>
            <w:tcMar>
              <w:top w:w="12" w:type="dxa"/>
              <w:left w:w="12" w:type="dxa"/>
              <w:right w:w="12" w:type="dxa"/>
            </w:tcMar>
            <w:vAlign w:val="center"/>
          </w:tcPr>
          <w:p w14:paraId="7D4DFD57">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noWrap/>
            <w:tcMar>
              <w:top w:w="12" w:type="dxa"/>
              <w:left w:w="12" w:type="dxa"/>
              <w:right w:w="12" w:type="dxa"/>
            </w:tcMar>
            <w:vAlign w:val="center"/>
          </w:tcPr>
          <w:p w14:paraId="3BC62AA4">
            <w:pPr>
              <w:jc w:val="center"/>
              <w:rPr>
                <w:rFonts w:hint="eastAsia" w:asciiTheme="minorEastAsia" w:hAnsiTheme="minorEastAsia" w:eastAsiaTheme="minorEastAsia" w:cstheme="minorEastAsia"/>
                <w:color w:val="auto"/>
                <w:kern w:val="2"/>
                <w:sz w:val="17"/>
                <w:szCs w:val="17"/>
                <w:lang w:val="en-US" w:eastAsia="zh-CN" w:bidi="ar-SA"/>
              </w:rPr>
            </w:pPr>
            <w:r>
              <w:rPr>
                <w:rFonts w:hint="eastAsia" w:asciiTheme="minorEastAsia" w:hAnsiTheme="minorEastAsia" w:eastAsiaTheme="minorEastAsia" w:cstheme="minorEastAsia"/>
                <w:color w:val="auto"/>
                <w:sz w:val="17"/>
                <w:szCs w:val="17"/>
                <w:lang w:val="en-US" w:eastAsia="zh-CN"/>
              </w:rPr>
              <w:t>3</w:t>
            </w:r>
          </w:p>
        </w:tc>
        <w:tc>
          <w:tcPr>
            <w:tcW w:w="811" w:type="pct"/>
            <w:tcBorders>
              <w:tl2br w:val="nil"/>
              <w:tr2bl w:val="nil"/>
            </w:tcBorders>
            <w:shd w:val="clear" w:color="auto" w:fill="auto"/>
            <w:noWrap/>
            <w:tcMar>
              <w:top w:w="12" w:type="dxa"/>
              <w:left w:w="12" w:type="dxa"/>
              <w:right w:w="12" w:type="dxa"/>
            </w:tcMar>
            <w:vAlign w:val="center"/>
          </w:tcPr>
          <w:p w14:paraId="611B06AD">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775A59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812967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EE7E51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2C11D3C">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1225146022</w:t>
            </w:r>
          </w:p>
        </w:tc>
        <w:tc>
          <w:tcPr>
            <w:tcW w:w="1250" w:type="pct"/>
            <w:tcBorders>
              <w:tl2br w:val="nil"/>
              <w:tr2bl w:val="nil"/>
            </w:tcBorders>
            <w:shd w:val="clear" w:color="auto" w:fill="auto"/>
            <w:tcMar>
              <w:top w:w="12" w:type="dxa"/>
              <w:left w:w="12" w:type="dxa"/>
              <w:right w:w="12" w:type="dxa"/>
            </w:tcMar>
            <w:vAlign w:val="center"/>
          </w:tcPr>
          <w:p w14:paraId="4FB08FFB">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val="en-US" w:eastAsia="zh-CN" w:bidi="ar"/>
              </w:rPr>
              <w:t>汽车</w:t>
            </w:r>
            <w:r>
              <w:rPr>
                <w:rFonts w:hint="eastAsia" w:ascii="Times New Roman" w:hAnsi="Times New Roman" w:eastAsia="宋体" w:cs="Times New Roman"/>
                <w:bCs/>
                <w:kern w:val="0"/>
                <w:sz w:val="17"/>
                <w:szCs w:val="17"/>
                <w:lang w:bidi="ar"/>
              </w:rPr>
              <w:t>专业英语</w:t>
            </w:r>
          </w:p>
          <w:p w14:paraId="19ACEC3E">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Automotive Professional English</w:t>
            </w:r>
          </w:p>
        </w:tc>
        <w:tc>
          <w:tcPr>
            <w:tcW w:w="306" w:type="pct"/>
            <w:tcBorders>
              <w:tl2br w:val="nil"/>
              <w:tr2bl w:val="nil"/>
            </w:tcBorders>
            <w:shd w:val="clear" w:color="auto" w:fill="auto"/>
            <w:tcMar>
              <w:top w:w="12" w:type="dxa"/>
              <w:left w:w="12" w:type="dxa"/>
              <w:right w:w="12" w:type="dxa"/>
            </w:tcMar>
            <w:vAlign w:val="center"/>
          </w:tcPr>
          <w:p w14:paraId="1A1BEB8C">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w:t>
            </w:r>
          </w:p>
        </w:tc>
        <w:tc>
          <w:tcPr>
            <w:tcW w:w="248" w:type="pct"/>
            <w:tcBorders>
              <w:tl2br w:val="nil"/>
              <w:tr2bl w:val="nil"/>
            </w:tcBorders>
            <w:shd w:val="clear" w:color="auto" w:fill="auto"/>
            <w:tcMar>
              <w:top w:w="12" w:type="dxa"/>
              <w:left w:w="12" w:type="dxa"/>
              <w:right w:w="12" w:type="dxa"/>
            </w:tcMar>
            <w:vAlign w:val="center"/>
          </w:tcPr>
          <w:p w14:paraId="40608A0F">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16</w:t>
            </w:r>
          </w:p>
        </w:tc>
        <w:tc>
          <w:tcPr>
            <w:tcW w:w="285" w:type="pct"/>
            <w:tcBorders>
              <w:tl2br w:val="nil"/>
              <w:tr2bl w:val="nil"/>
            </w:tcBorders>
            <w:shd w:val="clear" w:color="auto" w:fill="auto"/>
            <w:tcMar>
              <w:top w:w="12" w:type="dxa"/>
              <w:left w:w="12" w:type="dxa"/>
              <w:right w:w="12" w:type="dxa"/>
            </w:tcMar>
            <w:vAlign w:val="center"/>
          </w:tcPr>
          <w:p w14:paraId="78E7EA2B">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16</w:t>
            </w:r>
          </w:p>
        </w:tc>
        <w:tc>
          <w:tcPr>
            <w:tcW w:w="301" w:type="pct"/>
            <w:tcBorders>
              <w:tl2br w:val="nil"/>
              <w:tr2bl w:val="nil"/>
            </w:tcBorders>
            <w:shd w:val="clear" w:color="auto" w:fill="auto"/>
            <w:tcMar>
              <w:top w:w="12" w:type="dxa"/>
              <w:left w:w="12" w:type="dxa"/>
              <w:right w:w="12" w:type="dxa"/>
            </w:tcMar>
            <w:vAlign w:val="center"/>
          </w:tcPr>
          <w:p w14:paraId="4BB01028">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0</w:t>
            </w:r>
          </w:p>
        </w:tc>
        <w:tc>
          <w:tcPr>
            <w:tcW w:w="295" w:type="pct"/>
            <w:tcBorders>
              <w:tl2br w:val="nil"/>
              <w:tr2bl w:val="nil"/>
            </w:tcBorders>
            <w:shd w:val="clear" w:color="auto" w:fill="auto"/>
            <w:tcMar>
              <w:top w:w="12" w:type="dxa"/>
              <w:left w:w="12" w:type="dxa"/>
              <w:right w:w="12" w:type="dxa"/>
            </w:tcMar>
            <w:vAlign w:val="center"/>
          </w:tcPr>
          <w:p w14:paraId="28E16AAF">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noWrap/>
            <w:tcMar>
              <w:top w:w="12" w:type="dxa"/>
              <w:left w:w="12" w:type="dxa"/>
              <w:right w:w="12" w:type="dxa"/>
            </w:tcMar>
            <w:vAlign w:val="center"/>
          </w:tcPr>
          <w:p w14:paraId="4E89B3A6">
            <w:pPr>
              <w:widowControl/>
              <w:jc w:val="center"/>
              <w:textAlignment w:val="center"/>
              <w:rPr>
                <w:rFonts w:hint="eastAsia" w:asciiTheme="minorEastAsia" w:hAnsiTheme="minorEastAsia" w:eastAsiaTheme="minorEastAsia" w:cstheme="minorEastAsia"/>
                <w:color w:val="auto"/>
                <w:kern w:val="2"/>
                <w:sz w:val="17"/>
                <w:szCs w:val="17"/>
                <w:lang w:val="en-US" w:eastAsia="zh-CN" w:bidi="ar-SA"/>
              </w:rPr>
            </w:pPr>
            <w:r>
              <w:rPr>
                <w:rFonts w:hint="eastAsia" w:asciiTheme="minorEastAsia" w:hAnsiTheme="minorEastAsia" w:eastAsiaTheme="minorEastAsia" w:cstheme="minorEastAsia"/>
                <w:color w:val="auto"/>
                <w:sz w:val="17"/>
                <w:szCs w:val="17"/>
                <w:lang w:val="en-US" w:eastAsia="zh-CN"/>
              </w:rPr>
              <w:t>4</w:t>
            </w:r>
          </w:p>
        </w:tc>
        <w:tc>
          <w:tcPr>
            <w:tcW w:w="811" w:type="pct"/>
            <w:tcBorders>
              <w:tl2br w:val="nil"/>
              <w:tr2bl w:val="nil"/>
            </w:tcBorders>
            <w:shd w:val="clear" w:color="auto" w:fill="auto"/>
            <w:noWrap/>
            <w:tcMar>
              <w:top w:w="12" w:type="dxa"/>
              <w:left w:w="12" w:type="dxa"/>
              <w:right w:w="12" w:type="dxa"/>
            </w:tcMar>
            <w:vAlign w:val="center"/>
          </w:tcPr>
          <w:p w14:paraId="18CA8DBD">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2490BC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B333E8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3C1D91A">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4455DD95">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1225246042</w:t>
            </w:r>
          </w:p>
        </w:tc>
        <w:tc>
          <w:tcPr>
            <w:tcW w:w="1250" w:type="pct"/>
            <w:tcBorders>
              <w:tl2br w:val="nil"/>
              <w:tr2bl w:val="nil"/>
            </w:tcBorders>
            <w:shd w:val="clear" w:color="auto" w:fill="auto"/>
            <w:tcMar>
              <w:top w:w="12" w:type="dxa"/>
              <w:left w:w="12" w:type="dxa"/>
              <w:right w:w="12" w:type="dxa"/>
            </w:tcMar>
            <w:vAlign w:val="center"/>
          </w:tcPr>
          <w:p w14:paraId="22FF0FCA">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汽车钣金技术</w:t>
            </w:r>
          </w:p>
          <w:p w14:paraId="42F89ADD">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Automobile bodywork technology</w:t>
            </w:r>
          </w:p>
        </w:tc>
        <w:tc>
          <w:tcPr>
            <w:tcW w:w="306" w:type="pct"/>
            <w:tcBorders>
              <w:tl2br w:val="nil"/>
              <w:tr2bl w:val="nil"/>
            </w:tcBorders>
            <w:shd w:val="clear" w:color="auto" w:fill="auto"/>
            <w:tcMar>
              <w:top w:w="12" w:type="dxa"/>
              <w:left w:w="12" w:type="dxa"/>
              <w:right w:w="12" w:type="dxa"/>
            </w:tcMar>
            <w:vAlign w:val="center"/>
          </w:tcPr>
          <w:p w14:paraId="7DB7435F">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w:t>
            </w:r>
          </w:p>
        </w:tc>
        <w:tc>
          <w:tcPr>
            <w:tcW w:w="248" w:type="pct"/>
            <w:tcBorders>
              <w:tl2br w:val="nil"/>
              <w:tr2bl w:val="nil"/>
            </w:tcBorders>
            <w:shd w:val="clear" w:color="auto" w:fill="auto"/>
            <w:tcMar>
              <w:top w:w="12" w:type="dxa"/>
              <w:left w:w="12" w:type="dxa"/>
              <w:right w:w="12" w:type="dxa"/>
            </w:tcMar>
            <w:vAlign w:val="center"/>
          </w:tcPr>
          <w:p w14:paraId="018D9422">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285" w:type="pct"/>
            <w:tcBorders>
              <w:tl2br w:val="nil"/>
              <w:tr2bl w:val="nil"/>
            </w:tcBorders>
            <w:shd w:val="clear" w:color="auto" w:fill="auto"/>
            <w:tcMar>
              <w:top w:w="12" w:type="dxa"/>
              <w:left w:w="12" w:type="dxa"/>
              <w:right w:w="12" w:type="dxa"/>
            </w:tcMar>
            <w:vAlign w:val="center"/>
          </w:tcPr>
          <w:p w14:paraId="78C24D4C">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tcMar>
              <w:top w:w="12" w:type="dxa"/>
              <w:left w:w="12" w:type="dxa"/>
              <w:right w:w="12" w:type="dxa"/>
            </w:tcMar>
            <w:vAlign w:val="center"/>
          </w:tcPr>
          <w:p w14:paraId="1DED955D">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8</w:t>
            </w:r>
          </w:p>
        </w:tc>
        <w:tc>
          <w:tcPr>
            <w:tcW w:w="295" w:type="pct"/>
            <w:tcBorders>
              <w:tl2br w:val="nil"/>
              <w:tr2bl w:val="nil"/>
            </w:tcBorders>
            <w:shd w:val="clear" w:color="auto" w:fill="auto"/>
            <w:tcMar>
              <w:top w:w="12" w:type="dxa"/>
              <w:left w:w="12" w:type="dxa"/>
              <w:right w:w="12" w:type="dxa"/>
            </w:tcMar>
            <w:vAlign w:val="center"/>
          </w:tcPr>
          <w:p w14:paraId="07733166">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noWrap/>
            <w:tcMar>
              <w:top w:w="12" w:type="dxa"/>
              <w:left w:w="12" w:type="dxa"/>
              <w:right w:w="12" w:type="dxa"/>
            </w:tcMar>
            <w:vAlign w:val="center"/>
          </w:tcPr>
          <w:p w14:paraId="311A58AA">
            <w:pPr>
              <w:widowControl/>
              <w:jc w:val="center"/>
              <w:textAlignment w:val="center"/>
              <w:rPr>
                <w:rFonts w:hint="eastAsia" w:asciiTheme="minorEastAsia" w:hAnsiTheme="minorEastAsia" w:eastAsiaTheme="minorEastAsia" w:cstheme="minorEastAsia"/>
                <w:color w:val="auto"/>
                <w:kern w:val="2"/>
                <w:sz w:val="17"/>
                <w:szCs w:val="17"/>
                <w:lang w:val="en-US" w:eastAsia="zh-CN" w:bidi="ar-SA"/>
              </w:rPr>
            </w:pPr>
            <w:r>
              <w:rPr>
                <w:rFonts w:hint="eastAsia" w:asciiTheme="minorEastAsia" w:hAnsiTheme="minorEastAsia" w:eastAsiaTheme="minorEastAsia" w:cstheme="minorEastAsia"/>
                <w:color w:val="auto"/>
                <w:sz w:val="17"/>
                <w:szCs w:val="17"/>
              </w:rPr>
              <w:t>4</w:t>
            </w:r>
          </w:p>
        </w:tc>
        <w:tc>
          <w:tcPr>
            <w:tcW w:w="811" w:type="pct"/>
            <w:tcBorders>
              <w:tl2br w:val="nil"/>
              <w:tr2bl w:val="nil"/>
            </w:tcBorders>
            <w:shd w:val="clear" w:color="auto" w:fill="auto"/>
            <w:noWrap/>
            <w:tcMar>
              <w:top w:w="12" w:type="dxa"/>
              <w:left w:w="12" w:type="dxa"/>
              <w:right w:w="12" w:type="dxa"/>
            </w:tcMar>
            <w:vAlign w:val="center"/>
          </w:tcPr>
          <w:p w14:paraId="3A844423">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64BC1A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200BAD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8E2997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76FF3F62">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1225246036</w:t>
            </w:r>
          </w:p>
        </w:tc>
        <w:tc>
          <w:tcPr>
            <w:tcW w:w="1250" w:type="pct"/>
            <w:tcBorders>
              <w:tl2br w:val="nil"/>
              <w:tr2bl w:val="nil"/>
            </w:tcBorders>
            <w:shd w:val="clear" w:color="auto" w:fill="auto"/>
            <w:tcMar>
              <w:top w:w="12" w:type="dxa"/>
              <w:left w:w="12" w:type="dxa"/>
              <w:right w:w="12" w:type="dxa"/>
            </w:tcMar>
            <w:vAlign w:val="center"/>
          </w:tcPr>
          <w:p w14:paraId="1930D239">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智能网联汽车基础</w:t>
            </w:r>
          </w:p>
          <w:p w14:paraId="65391E2B">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The foundation of intelligent connected vehicles</w:t>
            </w:r>
          </w:p>
        </w:tc>
        <w:tc>
          <w:tcPr>
            <w:tcW w:w="306" w:type="pct"/>
            <w:tcBorders>
              <w:tl2br w:val="nil"/>
              <w:tr2bl w:val="nil"/>
            </w:tcBorders>
            <w:shd w:val="clear" w:color="auto" w:fill="auto"/>
            <w:tcMar>
              <w:top w:w="12" w:type="dxa"/>
              <w:left w:w="12" w:type="dxa"/>
              <w:right w:w="12" w:type="dxa"/>
            </w:tcMar>
            <w:vAlign w:val="center"/>
          </w:tcPr>
          <w:p w14:paraId="168C5336">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w:t>
            </w:r>
          </w:p>
        </w:tc>
        <w:tc>
          <w:tcPr>
            <w:tcW w:w="248" w:type="pct"/>
            <w:tcBorders>
              <w:tl2br w:val="nil"/>
              <w:tr2bl w:val="nil"/>
            </w:tcBorders>
            <w:shd w:val="clear" w:color="auto" w:fill="auto"/>
            <w:tcMar>
              <w:top w:w="12" w:type="dxa"/>
              <w:left w:w="12" w:type="dxa"/>
              <w:right w:w="12" w:type="dxa"/>
            </w:tcMar>
            <w:vAlign w:val="center"/>
          </w:tcPr>
          <w:p w14:paraId="25E97160">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285" w:type="pct"/>
            <w:tcBorders>
              <w:tl2br w:val="nil"/>
              <w:tr2bl w:val="nil"/>
            </w:tcBorders>
            <w:shd w:val="clear" w:color="auto" w:fill="auto"/>
            <w:tcMar>
              <w:top w:w="12" w:type="dxa"/>
              <w:left w:w="12" w:type="dxa"/>
              <w:right w:w="12" w:type="dxa"/>
            </w:tcMar>
            <w:vAlign w:val="center"/>
          </w:tcPr>
          <w:p w14:paraId="2634E614">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tcMar>
              <w:top w:w="12" w:type="dxa"/>
              <w:left w:w="12" w:type="dxa"/>
              <w:right w:w="12" w:type="dxa"/>
            </w:tcMar>
            <w:vAlign w:val="center"/>
          </w:tcPr>
          <w:p w14:paraId="79341DBB">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8</w:t>
            </w:r>
          </w:p>
        </w:tc>
        <w:tc>
          <w:tcPr>
            <w:tcW w:w="295" w:type="pct"/>
            <w:tcBorders>
              <w:tl2br w:val="nil"/>
              <w:tr2bl w:val="nil"/>
            </w:tcBorders>
            <w:shd w:val="clear" w:color="auto" w:fill="auto"/>
            <w:tcMar>
              <w:top w:w="12" w:type="dxa"/>
              <w:left w:w="12" w:type="dxa"/>
              <w:right w:w="12" w:type="dxa"/>
            </w:tcMar>
            <w:vAlign w:val="center"/>
          </w:tcPr>
          <w:p w14:paraId="6A1B39BE">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noWrap/>
            <w:tcMar>
              <w:top w:w="12" w:type="dxa"/>
              <w:left w:w="12" w:type="dxa"/>
              <w:right w:w="12" w:type="dxa"/>
            </w:tcMar>
            <w:vAlign w:val="center"/>
          </w:tcPr>
          <w:p w14:paraId="63EFD871">
            <w:pPr>
              <w:widowControl/>
              <w:jc w:val="center"/>
              <w:textAlignment w:val="center"/>
              <w:rPr>
                <w:rFonts w:hint="eastAsia" w:asciiTheme="minorEastAsia" w:hAnsiTheme="minorEastAsia" w:eastAsiaTheme="minorEastAsia" w:cstheme="minorEastAsia"/>
                <w:color w:val="auto"/>
                <w:kern w:val="2"/>
                <w:sz w:val="17"/>
                <w:szCs w:val="17"/>
                <w:lang w:val="en-US" w:eastAsia="zh-CN" w:bidi="ar-SA"/>
              </w:rPr>
            </w:pPr>
            <w:r>
              <w:rPr>
                <w:rFonts w:hint="eastAsia" w:asciiTheme="minorEastAsia" w:hAnsiTheme="minorEastAsia" w:eastAsiaTheme="minorEastAsia" w:cstheme="minorEastAsia"/>
                <w:color w:val="auto"/>
                <w:sz w:val="17"/>
                <w:szCs w:val="17"/>
              </w:rPr>
              <w:t>3</w:t>
            </w:r>
          </w:p>
        </w:tc>
        <w:tc>
          <w:tcPr>
            <w:tcW w:w="811" w:type="pct"/>
            <w:tcBorders>
              <w:tl2br w:val="nil"/>
              <w:tr2bl w:val="nil"/>
            </w:tcBorders>
            <w:shd w:val="clear" w:color="auto" w:fill="auto"/>
            <w:noWrap/>
            <w:tcMar>
              <w:top w:w="12" w:type="dxa"/>
              <w:left w:w="12" w:type="dxa"/>
              <w:right w:w="12" w:type="dxa"/>
            </w:tcMar>
            <w:vAlign w:val="center"/>
          </w:tcPr>
          <w:p w14:paraId="3D704C69">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1DE04D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CF305A2">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A3652D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706ACE7">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1225246037</w:t>
            </w:r>
          </w:p>
        </w:tc>
        <w:tc>
          <w:tcPr>
            <w:tcW w:w="1250" w:type="pct"/>
            <w:tcBorders>
              <w:tl2br w:val="nil"/>
              <w:tr2bl w:val="nil"/>
            </w:tcBorders>
            <w:shd w:val="clear" w:color="auto" w:fill="auto"/>
            <w:tcMar>
              <w:top w:w="12" w:type="dxa"/>
              <w:left w:w="12" w:type="dxa"/>
              <w:right w:w="12" w:type="dxa"/>
            </w:tcMar>
            <w:vAlign w:val="center"/>
          </w:tcPr>
          <w:p w14:paraId="0CD034D1">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新能源汽车结构与原理</w:t>
            </w:r>
          </w:p>
          <w:p w14:paraId="35D3A829">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The structure and principle of new energy vehicles</w:t>
            </w:r>
          </w:p>
        </w:tc>
        <w:tc>
          <w:tcPr>
            <w:tcW w:w="306" w:type="pct"/>
            <w:tcBorders>
              <w:tl2br w:val="nil"/>
              <w:tr2bl w:val="nil"/>
            </w:tcBorders>
            <w:shd w:val="clear" w:color="auto" w:fill="auto"/>
            <w:tcMar>
              <w:top w:w="12" w:type="dxa"/>
              <w:left w:w="12" w:type="dxa"/>
              <w:right w:w="12" w:type="dxa"/>
            </w:tcMar>
            <w:vAlign w:val="center"/>
          </w:tcPr>
          <w:p w14:paraId="565E548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w:t>
            </w:r>
          </w:p>
        </w:tc>
        <w:tc>
          <w:tcPr>
            <w:tcW w:w="248" w:type="pct"/>
            <w:tcBorders>
              <w:tl2br w:val="nil"/>
              <w:tr2bl w:val="nil"/>
            </w:tcBorders>
            <w:shd w:val="clear" w:color="auto" w:fill="auto"/>
            <w:tcMar>
              <w:top w:w="12" w:type="dxa"/>
              <w:left w:w="12" w:type="dxa"/>
              <w:right w:w="12" w:type="dxa"/>
            </w:tcMar>
            <w:vAlign w:val="center"/>
          </w:tcPr>
          <w:p w14:paraId="0203019F">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285" w:type="pct"/>
            <w:tcBorders>
              <w:tl2br w:val="nil"/>
              <w:tr2bl w:val="nil"/>
            </w:tcBorders>
            <w:shd w:val="clear" w:color="auto" w:fill="auto"/>
            <w:tcMar>
              <w:top w:w="12" w:type="dxa"/>
              <w:left w:w="12" w:type="dxa"/>
              <w:right w:w="12" w:type="dxa"/>
            </w:tcMar>
            <w:vAlign w:val="center"/>
          </w:tcPr>
          <w:p w14:paraId="5A0C9A59">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tcMar>
              <w:top w:w="12" w:type="dxa"/>
              <w:left w:w="12" w:type="dxa"/>
              <w:right w:w="12" w:type="dxa"/>
            </w:tcMar>
            <w:vAlign w:val="center"/>
          </w:tcPr>
          <w:p w14:paraId="7BB62A68">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8</w:t>
            </w:r>
          </w:p>
        </w:tc>
        <w:tc>
          <w:tcPr>
            <w:tcW w:w="295" w:type="pct"/>
            <w:tcBorders>
              <w:tl2br w:val="nil"/>
              <w:tr2bl w:val="nil"/>
            </w:tcBorders>
            <w:shd w:val="clear" w:color="auto" w:fill="auto"/>
            <w:tcMar>
              <w:top w:w="12" w:type="dxa"/>
              <w:left w:w="12" w:type="dxa"/>
              <w:right w:w="12" w:type="dxa"/>
            </w:tcMar>
            <w:vAlign w:val="center"/>
          </w:tcPr>
          <w:p w14:paraId="2AD0537A">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noWrap/>
            <w:tcMar>
              <w:top w:w="12" w:type="dxa"/>
              <w:left w:w="12" w:type="dxa"/>
              <w:right w:w="12" w:type="dxa"/>
            </w:tcMar>
            <w:vAlign w:val="center"/>
          </w:tcPr>
          <w:p w14:paraId="085F737E">
            <w:pPr>
              <w:jc w:val="center"/>
              <w:rPr>
                <w:rFonts w:hint="eastAsia" w:asciiTheme="minorEastAsia" w:hAnsiTheme="minorEastAsia" w:eastAsiaTheme="minorEastAsia" w:cstheme="minorEastAsia"/>
                <w:color w:val="auto"/>
                <w:kern w:val="2"/>
                <w:sz w:val="17"/>
                <w:szCs w:val="17"/>
                <w:lang w:val="en-US" w:eastAsia="zh-CN" w:bidi="ar-SA"/>
              </w:rPr>
            </w:pPr>
            <w:r>
              <w:rPr>
                <w:rFonts w:hint="eastAsia" w:asciiTheme="minorEastAsia" w:hAnsiTheme="minorEastAsia" w:eastAsiaTheme="minorEastAsia" w:cstheme="minorEastAsia"/>
                <w:color w:val="auto"/>
                <w:sz w:val="17"/>
                <w:szCs w:val="17"/>
              </w:rPr>
              <w:t>4</w:t>
            </w:r>
          </w:p>
        </w:tc>
        <w:tc>
          <w:tcPr>
            <w:tcW w:w="811" w:type="pct"/>
            <w:tcBorders>
              <w:tl2br w:val="nil"/>
              <w:tr2bl w:val="nil"/>
            </w:tcBorders>
            <w:shd w:val="clear" w:color="auto" w:fill="auto"/>
            <w:noWrap/>
            <w:tcMar>
              <w:top w:w="12" w:type="dxa"/>
              <w:left w:w="12" w:type="dxa"/>
              <w:right w:w="12" w:type="dxa"/>
            </w:tcMar>
            <w:vAlign w:val="center"/>
          </w:tcPr>
          <w:p w14:paraId="7571CB29">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0458EF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38577B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0897516">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7D44AB04">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1225246040</w:t>
            </w:r>
          </w:p>
        </w:tc>
        <w:tc>
          <w:tcPr>
            <w:tcW w:w="1250" w:type="pct"/>
            <w:tcBorders>
              <w:tl2br w:val="nil"/>
              <w:tr2bl w:val="nil"/>
            </w:tcBorders>
            <w:shd w:val="clear" w:color="auto" w:fill="auto"/>
            <w:tcMar>
              <w:top w:w="12" w:type="dxa"/>
              <w:left w:w="12" w:type="dxa"/>
              <w:right w:w="12" w:type="dxa"/>
            </w:tcMar>
            <w:vAlign w:val="center"/>
          </w:tcPr>
          <w:p w14:paraId="72E3C5C5">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汽车美容</w:t>
            </w:r>
          </w:p>
          <w:p w14:paraId="03C46571">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Car beauty care</w:t>
            </w:r>
          </w:p>
        </w:tc>
        <w:tc>
          <w:tcPr>
            <w:tcW w:w="306" w:type="pct"/>
            <w:tcBorders>
              <w:tl2br w:val="nil"/>
              <w:tr2bl w:val="nil"/>
            </w:tcBorders>
            <w:shd w:val="clear" w:color="auto" w:fill="auto"/>
            <w:tcMar>
              <w:top w:w="12" w:type="dxa"/>
              <w:left w:w="12" w:type="dxa"/>
              <w:right w:w="12" w:type="dxa"/>
            </w:tcMar>
            <w:vAlign w:val="center"/>
          </w:tcPr>
          <w:p w14:paraId="4D281C7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w:t>
            </w:r>
          </w:p>
        </w:tc>
        <w:tc>
          <w:tcPr>
            <w:tcW w:w="248" w:type="pct"/>
            <w:tcBorders>
              <w:tl2br w:val="nil"/>
              <w:tr2bl w:val="nil"/>
            </w:tcBorders>
            <w:shd w:val="clear" w:color="auto" w:fill="auto"/>
            <w:tcMar>
              <w:top w:w="12" w:type="dxa"/>
              <w:left w:w="12" w:type="dxa"/>
              <w:right w:w="12" w:type="dxa"/>
            </w:tcMar>
            <w:vAlign w:val="center"/>
          </w:tcPr>
          <w:p w14:paraId="658997C3">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285" w:type="pct"/>
            <w:tcBorders>
              <w:tl2br w:val="nil"/>
              <w:tr2bl w:val="nil"/>
            </w:tcBorders>
            <w:shd w:val="clear" w:color="auto" w:fill="auto"/>
            <w:tcMar>
              <w:top w:w="12" w:type="dxa"/>
              <w:left w:w="12" w:type="dxa"/>
              <w:right w:w="12" w:type="dxa"/>
            </w:tcMar>
            <w:vAlign w:val="center"/>
          </w:tcPr>
          <w:p w14:paraId="2B25D8F0">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tcMar>
              <w:top w:w="12" w:type="dxa"/>
              <w:left w:w="12" w:type="dxa"/>
              <w:right w:w="12" w:type="dxa"/>
            </w:tcMar>
            <w:vAlign w:val="center"/>
          </w:tcPr>
          <w:p w14:paraId="66A5C275">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8</w:t>
            </w:r>
          </w:p>
        </w:tc>
        <w:tc>
          <w:tcPr>
            <w:tcW w:w="295" w:type="pct"/>
            <w:tcBorders>
              <w:tl2br w:val="nil"/>
              <w:tr2bl w:val="nil"/>
            </w:tcBorders>
            <w:shd w:val="clear" w:color="auto" w:fill="auto"/>
            <w:tcMar>
              <w:top w:w="12" w:type="dxa"/>
              <w:left w:w="12" w:type="dxa"/>
              <w:right w:w="12" w:type="dxa"/>
            </w:tcMar>
            <w:vAlign w:val="center"/>
          </w:tcPr>
          <w:p w14:paraId="3194950E">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noWrap/>
            <w:tcMar>
              <w:top w:w="12" w:type="dxa"/>
              <w:left w:w="12" w:type="dxa"/>
              <w:right w:w="12" w:type="dxa"/>
            </w:tcMar>
            <w:vAlign w:val="center"/>
          </w:tcPr>
          <w:p w14:paraId="5D298B39">
            <w:pPr>
              <w:jc w:val="center"/>
              <w:rPr>
                <w:rFonts w:hint="eastAsia" w:asciiTheme="minorEastAsia" w:hAnsiTheme="minorEastAsia" w:eastAsiaTheme="minorEastAsia" w:cstheme="minorEastAsia"/>
                <w:color w:val="auto"/>
                <w:kern w:val="2"/>
                <w:sz w:val="17"/>
                <w:szCs w:val="17"/>
                <w:lang w:val="en-US" w:eastAsia="zh-CN" w:bidi="ar-SA"/>
              </w:rPr>
            </w:pPr>
            <w:r>
              <w:rPr>
                <w:rFonts w:hint="eastAsia" w:asciiTheme="minorEastAsia" w:hAnsiTheme="minorEastAsia" w:eastAsiaTheme="minorEastAsia" w:cstheme="minorEastAsia"/>
                <w:color w:val="auto"/>
                <w:sz w:val="17"/>
                <w:szCs w:val="17"/>
              </w:rPr>
              <w:t>4</w:t>
            </w:r>
          </w:p>
        </w:tc>
        <w:tc>
          <w:tcPr>
            <w:tcW w:w="811" w:type="pct"/>
            <w:tcBorders>
              <w:tl2br w:val="nil"/>
              <w:tr2bl w:val="nil"/>
            </w:tcBorders>
            <w:shd w:val="clear" w:color="auto" w:fill="auto"/>
            <w:noWrap/>
            <w:tcMar>
              <w:top w:w="12" w:type="dxa"/>
              <w:left w:w="12" w:type="dxa"/>
              <w:right w:w="12" w:type="dxa"/>
            </w:tcMar>
            <w:vAlign w:val="center"/>
          </w:tcPr>
          <w:p w14:paraId="51FA667F">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74E0FD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5C08700">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4208F3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61570441">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1225246016</w:t>
            </w:r>
          </w:p>
        </w:tc>
        <w:tc>
          <w:tcPr>
            <w:tcW w:w="1250" w:type="pct"/>
            <w:tcBorders>
              <w:tl2br w:val="nil"/>
              <w:tr2bl w:val="nil"/>
            </w:tcBorders>
            <w:shd w:val="clear" w:color="auto" w:fill="auto"/>
            <w:tcMar>
              <w:top w:w="12" w:type="dxa"/>
              <w:left w:w="12" w:type="dxa"/>
              <w:right w:w="12" w:type="dxa"/>
            </w:tcMar>
            <w:vAlign w:val="center"/>
          </w:tcPr>
          <w:p w14:paraId="3BDEDAF1">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bidi="ar"/>
              </w:rPr>
              <w:t>汽车</w:t>
            </w:r>
            <w:r>
              <w:rPr>
                <w:rFonts w:hint="eastAsia" w:ascii="Times New Roman" w:hAnsi="Times New Roman" w:eastAsia="宋体" w:cs="Times New Roman"/>
                <w:bCs/>
                <w:kern w:val="0"/>
                <w:sz w:val="17"/>
                <w:szCs w:val="17"/>
                <w:lang w:val="en-US" w:eastAsia="zh-CN" w:bidi="ar"/>
              </w:rPr>
              <w:t>保险与理赔</w:t>
            </w:r>
          </w:p>
          <w:p w14:paraId="54292DD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Automobile insurance and claims</w:t>
            </w:r>
          </w:p>
        </w:tc>
        <w:tc>
          <w:tcPr>
            <w:tcW w:w="306" w:type="pct"/>
            <w:tcBorders>
              <w:tl2br w:val="nil"/>
              <w:tr2bl w:val="nil"/>
            </w:tcBorders>
            <w:shd w:val="clear" w:color="auto" w:fill="auto"/>
            <w:tcMar>
              <w:top w:w="12" w:type="dxa"/>
              <w:left w:w="12" w:type="dxa"/>
              <w:right w:w="12" w:type="dxa"/>
            </w:tcMar>
            <w:vAlign w:val="center"/>
          </w:tcPr>
          <w:p w14:paraId="5DF5DA6E">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w:t>
            </w:r>
          </w:p>
        </w:tc>
        <w:tc>
          <w:tcPr>
            <w:tcW w:w="248" w:type="pct"/>
            <w:tcBorders>
              <w:tl2br w:val="nil"/>
              <w:tr2bl w:val="nil"/>
            </w:tcBorders>
            <w:shd w:val="clear" w:color="auto" w:fill="auto"/>
            <w:tcMar>
              <w:top w:w="12" w:type="dxa"/>
              <w:left w:w="12" w:type="dxa"/>
              <w:right w:w="12" w:type="dxa"/>
            </w:tcMar>
            <w:vAlign w:val="center"/>
          </w:tcPr>
          <w:p w14:paraId="57C84617">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285" w:type="pct"/>
            <w:tcBorders>
              <w:tl2br w:val="nil"/>
              <w:tr2bl w:val="nil"/>
            </w:tcBorders>
            <w:shd w:val="clear" w:color="auto" w:fill="auto"/>
            <w:tcMar>
              <w:top w:w="12" w:type="dxa"/>
              <w:left w:w="12" w:type="dxa"/>
              <w:right w:w="12" w:type="dxa"/>
            </w:tcMar>
            <w:vAlign w:val="center"/>
          </w:tcPr>
          <w:p w14:paraId="4D3CE092">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tcMar>
              <w:top w:w="12" w:type="dxa"/>
              <w:left w:w="12" w:type="dxa"/>
              <w:right w:w="12" w:type="dxa"/>
            </w:tcMar>
            <w:vAlign w:val="center"/>
          </w:tcPr>
          <w:p w14:paraId="47C7987B">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8</w:t>
            </w:r>
          </w:p>
        </w:tc>
        <w:tc>
          <w:tcPr>
            <w:tcW w:w="295" w:type="pct"/>
            <w:tcBorders>
              <w:tl2br w:val="nil"/>
              <w:tr2bl w:val="nil"/>
            </w:tcBorders>
            <w:shd w:val="clear" w:color="auto" w:fill="auto"/>
            <w:tcMar>
              <w:top w:w="12" w:type="dxa"/>
              <w:left w:w="12" w:type="dxa"/>
              <w:right w:w="12" w:type="dxa"/>
            </w:tcMar>
            <w:vAlign w:val="center"/>
          </w:tcPr>
          <w:p w14:paraId="6014E279">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noWrap/>
            <w:tcMar>
              <w:top w:w="12" w:type="dxa"/>
              <w:left w:w="12" w:type="dxa"/>
              <w:right w:w="12" w:type="dxa"/>
            </w:tcMar>
            <w:vAlign w:val="center"/>
          </w:tcPr>
          <w:p w14:paraId="5F47022B">
            <w:pPr>
              <w:jc w:val="center"/>
              <w:rPr>
                <w:rFonts w:hint="eastAsia" w:asciiTheme="minorEastAsia" w:hAnsiTheme="minorEastAsia" w:eastAsiaTheme="minorEastAsia" w:cstheme="minorEastAsia"/>
                <w:color w:val="auto"/>
                <w:kern w:val="2"/>
                <w:sz w:val="17"/>
                <w:szCs w:val="17"/>
                <w:lang w:val="en-US" w:eastAsia="zh-CN" w:bidi="ar-SA"/>
              </w:rPr>
            </w:pPr>
            <w:r>
              <w:rPr>
                <w:rFonts w:hint="eastAsia" w:asciiTheme="minorEastAsia" w:hAnsiTheme="minorEastAsia" w:eastAsiaTheme="minorEastAsia" w:cstheme="minorEastAsia"/>
                <w:color w:val="auto"/>
                <w:sz w:val="17"/>
                <w:szCs w:val="17"/>
              </w:rPr>
              <w:t>3</w:t>
            </w:r>
          </w:p>
        </w:tc>
        <w:tc>
          <w:tcPr>
            <w:tcW w:w="811" w:type="pct"/>
            <w:tcBorders>
              <w:tl2br w:val="nil"/>
              <w:tr2bl w:val="nil"/>
            </w:tcBorders>
            <w:shd w:val="clear" w:color="auto" w:fill="auto"/>
            <w:noWrap/>
            <w:tcMar>
              <w:top w:w="12" w:type="dxa"/>
              <w:left w:w="12" w:type="dxa"/>
              <w:right w:w="12" w:type="dxa"/>
            </w:tcMar>
            <w:vAlign w:val="center"/>
          </w:tcPr>
          <w:p w14:paraId="083BDDC2">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78714D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066F6D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A0CBF1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32F35366">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1225246030</w:t>
            </w:r>
          </w:p>
        </w:tc>
        <w:tc>
          <w:tcPr>
            <w:tcW w:w="1250" w:type="pct"/>
            <w:tcBorders>
              <w:tl2br w:val="nil"/>
              <w:tr2bl w:val="nil"/>
            </w:tcBorders>
            <w:shd w:val="clear" w:color="auto" w:fill="auto"/>
            <w:tcMar>
              <w:top w:w="12" w:type="dxa"/>
              <w:left w:w="12" w:type="dxa"/>
              <w:right w:w="12" w:type="dxa"/>
            </w:tcMar>
            <w:vAlign w:val="center"/>
          </w:tcPr>
          <w:p w14:paraId="299F32FE">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bidi="ar"/>
              </w:rPr>
              <w:t>汽车</w:t>
            </w:r>
            <w:r>
              <w:rPr>
                <w:rFonts w:hint="eastAsia" w:ascii="Times New Roman" w:hAnsi="Times New Roman" w:eastAsia="宋体" w:cs="Times New Roman"/>
                <w:bCs/>
                <w:kern w:val="0"/>
                <w:sz w:val="17"/>
                <w:szCs w:val="17"/>
                <w:lang w:val="en-US" w:eastAsia="zh-CN" w:bidi="ar"/>
              </w:rPr>
              <w:t>市场营销</w:t>
            </w:r>
          </w:p>
          <w:p w14:paraId="0BD0BB4C">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Automobile marketing</w:t>
            </w:r>
          </w:p>
        </w:tc>
        <w:tc>
          <w:tcPr>
            <w:tcW w:w="306" w:type="pct"/>
            <w:tcBorders>
              <w:tl2br w:val="nil"/>
              <w:tr2bl w:val="nil"/>
            </w:tcBorders>
            <w:shd w:val="clear" w:color="auto" w:fill="auto"/>
            <w:tcMar>
              <w:top w:w="12" w:type="dxa"/>
              <w:left w:w="12" w:type="dxa"/>
              <w:right w:w="12" w:type="dxa"/>
            </w:tcMar>
            <w:vAlign w:val="center"/>
          </w:tcPr>
          <w:p w14:paraId="5D7BE52B">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w:t>
            </w:r>
          </w:p>
        </w:tc>
        <w:tc>
          <w:tcPr>
            <w:tcW w:w="248" w:type="pct"/>
            <w:tcBorders>
              <w:tl2br w:val="nil"/>
              <w:tr2bl w:val="nil"/>
            </w:tcBorders>
            <w:shd w:val="clear" w:color="auto" w:fill="auto"/>
            <w:tcMar>
              <w:top w:w="12" w:type="dxa"/>
              <w:left w:w="12" w:type="dxa"/>
              <w:right w:w="12" w:type="dxa"/>
            </w:tcMar>
            <w:vAlign w:val="center"/>
          </w:tcPr>
          <w:p w14:paraId="50BF73C0">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32</w:t>
            </w:r>
          </w:p>
        </w:tc>
        <w:tc>
          <w:tcPr>
            <w:tcW w:w="285" w:type="pct"/>
            <w:tcBorders>
              <w:tl2br w:val="nil"/>
              <w:tr2bl w:val="nil"/>
            </w:tcBorders>
            <w:shd w:val="clear" w:color="auto" w:fill="auto"/>
            <w:tcMar>
              <w:top w:w="12" w:type="dxa"/>
              <w:left w:w="12" w:type="dxa"/>
              <w:right w:w="12" w:type="dxa"/>
            </w:tcMar>
            <w:vAlign w:val="center"/>
          </w:tcPr>
          <w:p w14:paraId="15A25DD7">
            <w:pPr>
              <w:widowControl/>
              <w:jc w:val="center"/>
              <w:textAlignment w:val="bottom"/>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24</w:t>
            </w:r>
          </w:p>
        </w:tc>
        <w:tc>
          <w:tcPr>
            <w:tcW w:w="301" w:type="pct"/>
            <w:tcBorders>
              <w:tl2br w:val="nil"/>
              <w:tr2bl w:val="nil"/>
            </w:tcBorders>
            <w:shd w:val="clear" w:color="auto" w:fill="auto"/>
            <w:tcMar>
              <w:top w:w="12" w:type="dxa"/>
              <w:left w:w="12" w:type="dxa"/>
              <w:right w:w="12" w:type="dxa"/>
            </w:tcMar>
            <w:vAlign w:val="center"/>
          </w:tcPr>
          <w:p w14:paraId="736F015B">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8</w:t>
            </w:r>
          </w:p>
        </w:tc>
        <w:tc>
          <w:tcPr>
            <w:tcW w:w="295" w:type="pct"/>
            <w:tcBorders>
              <w:tl2br w:val="nil"/>
              <w:tr2bl w:val="nil"/>
            </w:tcBorders>
            <w:shd w:val="clear" w:color="auto" w:fill="auto"/>
            <w:tcMar>
              <w:top w:w="12" w:type="dxa"/>
              <w:left w:w="12" w:type="dxa"/>
              <w:right w:w="12" w:type="dxa"/>
            </w:tcMar>
            <w:vAlign w:val="center"/>
          </w:tcPr>
          <w:p w14:paraId="11E9AEBE">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考查</w:t>
            </w:r>
          </w:p>
        </w:tc>
        <w:tc>
          <w:tcPr>
            <w:tcW w:w="327" w:type="pct"/>
            <w:tcBorders>
              <w:tl2br w:val="nil"/>
              <w:tr2bl w:val="nil"/>
            </w:tcBorders>
            <w:shd w:val="clear" w:color="auto" w:fill="auto"/>
            <w:noWrap/>
            <w:tcMar>
              <w:top w:w="12" w:type="dxa"/>
              <w:left w:w="12" w:type="dxa"/>
              <w:right w:w="12" w:type="dxa"/>
            </w:tcMar>
            <w:vAlign w:val="center"/>
          </w:tcPr>
          <w:p w14:paraId="5B9EFCA6">
            <w:pPr>
              <w:jc w:val="center"/>
              <w:rPr>
                <w:rFonts w:hint="eastAsia" w:asciiTheme="minorEastAsia" w:hAnsiTheme="minorEastAsia" w:eastAsiaTheme="minorEastAsia" w:cstheme="minorEastAsia"/>
                <w:color w:val="auto"/>
                <w:kern w:val="2"/>
                <w:sz w:val="17"/>
                <w:szCs w:val="17"/>
                <w:lang w:val="en-US" w:eastAsia="zh-CN" w:bidi="ar-SA"/>
              </w:rPr>
            </w:pPr>
            <w:r>
              <w:rPr>
                <w:rFonts w:hint="eastAsia" w:asciiTheme="minorEastAsia" w:hAnsiTheme="minorEastAsia" w:eastAsiaTheme="minorEastAsia" w:cstheme="minorEastAsia"/>
                <w:color w:val="auto"/>
                <w:sz w:val="17"/>
                <w:szCs w:val="17"/>
              </w:rPr>
              <w:t>4</w:t>
            </w:r>
          </w:p>
        </w:tc>
        <w:tc>
          <w:tcPr>
            <w:tcW w:w="811" w:type="pct"/>
            <w:tcBorders>
              <w:tl2br w:val="nil"/>
              <w:tr2bl w:val="nil"/>
            </w:tcBorders>
            <w:shd w:val="clear" w:color="auto" w:fill="auto"/>
            <w:noWrap/>
            <w:tcMar>
              <w:top w:w="12" w:type="dxa"/>
              <w:left w:w="12" w:type="dxa"/>
              <w:right w:w="12" w:type="dxa"/>
            </w:tcMar>
            <w:vAlign w:val="center"/>
          </w:tcPr>
          <w:p w14:paraId="22E9355C">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6F1C42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6415C7C">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F8D69F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4471" w:type="pct"/>
            <w:gridSpan w:val="9"/>
            <w:tcBorders>
              <w:tl2br w:val="nil"/>
              <w:tr2bl w:val="nil"/>
            </w:tcBorders>
            <w:shd w:val="clear" w:color="auto" w:fill="auto"/>
            <w:tcMar>
              <w:top w:w="12" w:type="dxa"/>
              <w:left w:w="12" w:type="dxa"/>
              <w:right w:w="12" w:type="dxa"/>
            </w:tcMar>
            <w:vAlign w:val="center"/>
          </w:tcPr>
          <w:p w14:paraId="3BF4A61F">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
                <w:bCs w:val="0"/>
                <w:kern w:val="0"/>
                <w:sz w:val="17"/>
                <w:szCs w:val="17"/>
                <w:highlight w:val="none"/>
                <w:lang w:val="en-US" w:eastAsia="zh-CN"/>
              </w:rPr>
              <w:t>选修4学分</w:t>
            </w:r>
          </w:p>
        </w:tc>
      </w:tr>
      <w:tr w14:paraId="63B87C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restart"/>
            <w:tcBorders>
              <w:tl2br w:val="nil"/>
              <w:tr2bl w:val="nil"/>
            </w:tcBorders>
            <w:shd w:val="clear" w:color="auto" w:fill="auto"/>
            <w:tcMar>
              <w:top w:w="12" w:type="dxa"/>
              <w:left w:w="12" w:type="dxa"/>
              <w:right w:w="12" w:type="dxa"/>
            </w:tcMar>
            <w:vAlign w:val="center"/>
          </w:tcPr>
          <w:p w14:paraId="78E95D64">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选修</w:t>
            </w:r>
            <w:r>
              <w:rPr>
                <w:rFonts w:hint="default" w:ascii="Times New Roman" w:hAnsi="Times New Roman" w:cs="Times New Roman"/>
                <w:bCs/>
                <w:kern w:val="0"/>
                <w:sz w:val="17"/>
                <w:szCs w:val="17"/>
                <w:highlight w:val="none"/>
                <w:lang w:val="en-US" w:eastAsia="zh-CN"/>
              </w:rPr>
              <w:t>实践教育</w:t>
            </w:r>
          </w:p>
        </w:tc>
        <w:tc>
          <w:tcPr>
            <w:tcW w:w="274" w:type="pct"/>
            <w:vMerge w:val="restart"/>
            <w:tcBorders>
              <w:tl2br w:val="nil"/>
              <w:tr2bl w:val="nil"/>
            </w:tcBorders>
            <w:shd w:val="clear" w:color="auto" w:fill="auto"/>
            <w:tcMar>
              <w:top w:w="12" w:type="dxa"/>
              <w:left w:w="12" w:type="dxa"/>
              <w:right w:w="12" w:type="dxa"/>
            </w:tcMar>
            <w:vAlign w:val="center"/>
          </w:tcPr>
          <w:p w14:paraId="222FA80B">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公共</w:t>
            </w:r>
          </w:p>
          <w:p w14:paraId="5FE9EB92">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基础</w:t>
            </w:r>
          </w:p>
          <w:p w14:paraId="6C7D5935">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tc>
        <w:tc>
          <w:tcPr>
            <w:tcW w:w="645" w:type="pct"/>
            <w:tcBorders>
              <w:tl2br w:val="nil"/>
              <w:tr2bl w:val="nil"/>
            </w:tcBorders>
            <w:shd w:val="clear" w:color="auto" w:fill="auto"/>
            <w:tcMar>
              <w:top w:w="12" w:type="dxa"/>
              <w:left w:w="12" w:type="dxa"/>
              <w:right w:w="12" w:type="dxa"/>
            </w:tcMar>
            <w:vAlign w:val="center"/>
          </w:tcPr>
          <w:p w14:paraId="35634FD6">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rPr>
              <w:t>5321283001</w:t>
            </w:r>
          </w:p>
        </w:tc>
        <w:tc>
          <w:tcPr>
            <w:tcW w:w="1250" w:type="pct"/>
            <w:tcBorders>
              <w:tl2br w:val="nil"/>
              <w:tr2bl w:val="nil"/>
            </w:tcBorders>
            <w:shd w:val="clear" w:color="auto" w:fill="auto"/>
            <w:tcMar>
              <w:top w:w="12" w:type="dxa"/>
              <w:left w:w="12" w:type="dxa"/>
              <w:right w:w="12" w:type="dxa"/>
            </w:tcMar>
            <w:vAlign w:val="center"/>
          </w:tcPr>
          <w:p w14:paraId="19EE6B30">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军事技能</w:t>
            </w:r>
          </w:p>
          <w:p w14:paraId="4F414FF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Military Training</w:t>
            </w:r>
          </w:p>
        </w:tc>
        <w:tc>
          <w:tcPr>
            <w:tcW w:w="306" w:type="pct"/>
            <w:tcBorders>
              <w:tl2br w:val="nil"/>
              <w:tr2bl w:val="nil"/>
            </w:tcBorders>
            <w:shd w:val="clear" w:color="auto" w:fill="auto"/>
            <w:tcMar>
              <w:top w:w="12" w:type="dxa"/>
              <w:left w:w="12" w:type="dxa"/>
              <w:right w:w="12" w:type="dxa"/>
            </w:tcMar>
            <w:vAlign w:val="center"/>
          </w:tcPr>
          <w:p w14:paraId="1D9DF9E7">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62AF8AC1">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90</w:t>
            </w:r>
          </w:p>
        </w:tc>
        <w:tc>
          <w:tcPr>
            <w:tcW w:w="285" w:type="pct"/>
            <w:tcBorders>
              <w:tl2br w:val="nil"/>
              <w:tr2bl w:val="nil"/>
            </w:tcBorders>
            <w:shd w:val="clear" w:color="auto" w:fill="auto"/>
            <w:tcMar>
              <w:top w:w="12" w:type="dxa"/>
              <w:left w:w="12" w:type="dxa"/>
              <w:right w:w="12" w:type="dxa"/>
            </w:tcMar>
            <w:vAlign w:val="center"/>
          </w:tcPr>
          <w:p w14:paraId="409B4EF2">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0A1E3046">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90</w:t>
            </w:r>
          </w:p>
        </w:tc>
        <w:tc>
          <w:tcPr>
            <w:tcW w:w="295" w:type="pct"/>
            <w:tcBorders>
              <w:tl2br w:val="nil"/>
              <w:tr2bl w:val="nil"/>
            </w:tcBorders>
            <w:shd w:val="clear" w:color="auto" w:fill="auto"/>
            <w:tcMar>
              <w:top w:w="12" w:type="dxa"/>
              <w:left w:w="12" w:type="dxa"/>
              <w:right w:w="12" w:type="dxa"/>
            </w:tcMar>
            <w:vAlign w:val="center"/>
          </w:tcPr>
          <w:p w14:paraId="39D199A5">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624B2948">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0F414396">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552A0B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982B1C5">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6B3039E">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7123B31B">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rPr>
              <w:t>3221484001</w:t>
            </w:r>
          </w:p>
        </w:tc>
        <w:tc>
          <w:tcPr>
            <w:tcW w:w="1250" w:type="pct"/>
            <w:tcBorders>
              <w:tl2br w:val="nil"/>
              <w:tr2bl w:val="nil"/>
            </w:tcBorders>
            <w:shd w:val="clear" w:color="auto" w:fill="auto"/>
            <w:tcMar>
              <w:top w:w="12" w:type="dxa"/>
              <w:left w:w="12" w:type="dxa"/>
              <w:right w:w="12" w:type="dxa"/>
            </w:tcMar>
            <w:vAlign w:val="center"/>
          </w:tcPr>
          <w:p w14:paraId="67F078CC">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劳动教育</w:t>
            </w:r>
          </w:p>
          <w:p w14:paraId="7A7B07A1">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Labor Education</w:t>
            </w:r>
          </w:p>
        </w:tc>
        <w:tc>
          <w:tcPr>
            <w:tcW w:w="306" w:type="pct"/>
            <w:tcBorders>
              <w:tl2br w:val="nil"/>
              <w:tr2bl w:val="nil"/>
            </w:tcBorders>
            <w:shd w:val="clear" w:color="auto" w:fill="auto"/>
            <w:tcMar>
              <w:top w:w="12" w:type="dxa"/>
              <w:left w:w="12" w:type="dxa"/>
              <w:right w:w="12" w:type="dxa"/>
            </w:tcMar>
            <w:vAlign w:val="center"/>
          </w:tcPr>
          <w:p w14:paraId="44293143">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1</w:t>
            </w:r>
          </w:p>
        </w:tc>
        <w:tc>
          <w:tcPr>
            <w:tcW w:w="248" w:type="pct"/>
            <w:tcBorders>
              <w:tl2br w:val="nil"/>
              <w:tr2bl w:val="nil"/>
            </w:tcBorders>
            <w:shd w:val="clear" w:color="auto" w:fill="auto"/>
            <w:tcMar>
              <w:top w:w="12" w:type="dxa"/>
              <w:left w:w="12" w:type="dxa"/>
              <w:right w:w="12" w:type="dxa"/>
            </w:tcMar>
            <w:vAlign w:val="center"/>
          </w:tcPr>
          <w:p w14:paraId="20A8AC0B">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16</w:t>
            </w:r>
          </w:p>
        </w:tc>
        <w:tc>
          <w:tcPr>
            <w:tcW w:w="285" w:type="pct"/>
            <w:tcBorders>
              <w:tl2br w:val="nil"/>
              <w:tr2bl w:val="nil"/>
            </w:tcBorders>
            <w:shd w:val="clear" w:color="auto" w:fill="auto"/>
            <w:tcMar>
              <w:top w:w="12" w:type="dxa"/>
              <w:left w:w="12" w:type="dxa"/>
              <w:right w:w="12" w:type="dxa"/>
            </w:tcMar>
            <w:vAlign w:val="center"/>
          </w:tcPr>
          <w:p w14:paraId="2548BDEE">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8</w:t>
            </w:r>
          </w:p>
        </w:tc>
        <w:tc>
          <w:tcPr>
            <w:tcW w:w="301" w:type="pct"/>
            <w:tcBorders>
              <w:tl2br w:val="nil"/>
              <w:tr2bl w:val="nil"/>
            </w:tcBorders>
            <w:shd w:val="clear" w:color="auto" w:fill="auto"/>
            <w:tcMar>
              <w:top w:w="12" w:type="dxa"/>
              <w:left w:w="12" w:type="dxa"/>
              <w:right w:w="12" w:type="dxa"/>
            </w:tcMar>
            <w:vAlign w:val="center"/>
          </w:tcPr>
          <w:p w14:paraId="403E0AE7">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4122F430">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6A5117B8">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000000"/>
                <w:kern w:val="0"/>
                <w:sz w:val="17"/>
                <w:szCs w:val="17"/>
                <w:lang w:bidi="ar"/>
              </w:rPr>
              <w:t>1</w:t>
            </w:r>
          </w:p>
        </w:tc>
        <w:tc>
          <w:tcPr>
            <w:tcW w:w="811" w:type="pct"/>
            <w:tcBorders>
              <w:tl2br w:val="nil"/>
              <w:tr2bl w:val="nil"/>
            </w:tcBorders>
            <w:shd w:val="clear" w:color="auto" w:fill="auto"/>
            <w:tcMar>
              <w:top w:w="12" w:type="dxa"/>
              <w:left w:w="12" w:type="dxa"/>
              <w:right w:w="12" w:type="dxa"/>
            </w:tcMar>
            <w:vAlign w:val="center"/>
          </w:tcPr>
          <w:p w14:paraId="5257FEEA">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p>
        </w:tc>
      </w:tr>
      <w:tr w14:paraId="41381F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ADD2E5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restart"/>
            <w:tcBorders>
              <w:tl2br w:val="nil"/>
              <w:tr2bl w:val="nil"/>
            </w:tcBorders>
            <w:shd w:val="clear" w:color="auto" w:fill="auto"/>
            <w:tcMar>
              <w:top w:w="12" w:type="dxa"/>
              <w:left w:w="12" w:type="dxa"/>
              <w:right w:w="12" w:type="dxa"/>
            </w:tcMar>
            <w:vAlign w:val="center"/>
          </w:tcPr>
          <w:p w14:paraId="19B018A3">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27EA58CC">
            <w:pPr>
              <w:adjustRightInd w:val="0"/>
              <w:spacing w:line="200" w:lineRule="exact"/>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tc>
        <w:tc>
          <w:tcPr>
            <w:tcW w:w="645" w:type="pct"/>
            <w:tcBorders>
              <w:tl2br w:val="nil"/>
              <w:tr2bl w:val="nil"/>
            </w:tcBorders>
            <w:shd w:val="clear" w:color="auto" w:fill="auto"/>
            <w:tcMar>
              <w:top w:w="12" w:type="dxa"/>
              <w:left w:w="12" w:type="dxa"/>
              <w:right w:w="12" w:type="dxa"/>
            </w:tcMar>
            <w:vAlign w:val="center"/>
          </w:tcPr>
          <w:p w14:paraId="72C0FAC9">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1224546008</w:t>
            </w:r>
          </w:p>
        </w:tc>
        <w:tc>
          <w:tcPr>
            <w:tcW w:w="1250" w:type="pct"/>
            <w:tcBorders>
              <w:tl2br w:val="nil"/>
              <w:tr2bl w:val="nil"/>
            </w:tcBorders>
            <w:shd w:val="clear" w:color="auto" w:fill="auto"/>
            <w:tcMar>
              <w:top w:w="12" w:type="dxa"/>
              <w:left w:w="12" w:type="dxa"/>
              <w:right w:w="12" w:type="dxa"/>
            </w:tcMar>
            <w:vAlign w:val="center"/>
          </w:tcPr>
          <w:p w14:paraId="348364F6">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汽车拆装实训</w:t>
            </w:r>
          </w:p>
          <w:p w14:paraId="4C15758C">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Car Disassembly and Installation Training</w:t>
            </w:r>
          </w:p>
        </w:tc>
        <w:tc>
          <w:tcPr>
            <w:tcW w:w="306" w:type="pct"/>
            <w:tcBorders>
              <w:tl2br w:val="nil"/>
              <w:tr2bl w:val="nil"/>
            </w:tcBorders>
            <w:shd w:val="clear" w:color="auto" w:fill="auto"/>
            <w:tcMar>
              <w:top w:w="12" w:type="dxa"/>
              <w:left w:w="12" w:type="dxa"/>
              <w:right w:w="12" w:type="dxa"/>
            </w:tcMar>
            <w:vAlign w:val="center"/>
          </w:tcPr>
          <w:p w14:paraId="425EC69C">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w:t>
            </w:r>
          </w:p>
        </w:tc>
        <w:tc>
          <w:tcPr>
            <w:tcW w:w="248" w:type="pct"/>
            <w:tcBorders>
              <w:tl2br w:val="nil"/>
              <w:tr2bl w:val="nil"/>
            </w:tcBorders>
            <w:shd w:val="clear" w:color="auto" w:fill="auto"/>
            <w:tcMar>
              <w:top w:w="12" w:type="dxa"/>
              <w:left w:w="12" w:type="dxa"/>
              <w:right w:w="12" w:type="dxa"/>
            </w:tcMar>
            <w:vAlign w:val="center"/>
          </w:tcPr>
          <w:p w14:paraId="022FEE9D">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85" w:type="pct"/>
            <w:tcBorders>
              <w:tl2br w:val="nil"/>
              <w:tr2bl w:val="nil"/>
            </w:tcBorders>
            <w:shd w:val="clear" w:color="auto" w:fill="auto"/>
            <w:tcMar>
              <w:top w:w="12" w:type="dxa"/>
              <w:left w:w="12" w:type="dxa"/>
              <w:right w:w="12" w:type="dxa"/>
            </w:tcMar>
            <w:vAlign w:val="center"/>
          </w:tcPr>
          <w:p w14:paraId="5679B165">
            <w:pPr>
              <w:jc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5A711FDB">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95" w:type="pct"/>
            <w:tcBorders>
              <w:tl2br w:val="nil"/>
              <w:tr2bl w:val="nil"/>
            </w:tcBorders>
            <w:shd w:val="clear" w:color="auto" w:fill="auto"/>
            <w:tcMar>
              <w:top w:w="12" w:type="dxa"/>
              <w:left w:w="12" w:type="dxa"/>
              <w:right w:w="12" w:type="dxa"/>
            </w:tcMar>
            <w:vAlign w:val="center"/>
          </w:tcPr>
          <w:p w14:paraId="6FC09189">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000000"/>
                <w:kern w:val="0"/>
                <w:sz w:val="17"/>
                <w:szCs w:val="17"/>
                <w:highlight w:val="none"/>
                <w:lang w:val="en-US" w:eastAsia="zh-CN" w:bidi="ar"/>
              </w:rPr>
              <w:t>考查</w:t>
            </w:r>
          </w:p>
        </w:tc>
        <w:tc>
          <w:tcPr>
            <w:tcW w:w="327" w:type="pct"/>
            <w:tcBorders>
              <w:tl2br w:val="nil"/>
              <w:tr2bl w:val="nil"/>
            </w:tcBorders>
            <w:shd w:val="clear" w:color="auto" w:fill="auto"/>
            <w:tcMar>
              <w:top w:w="12" w:type="dxa"/>
              <w:left w:w="12" w:type="dxa"/>
              <w:right w:w="12" w:type="dxa"/>
            </w:tcMar>
            <w:vAlign w:val="center"/>
          </w:tcPr>
          <w:p w14:paraId="6C92377C">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2</w:t>
            </w:r>
          </w:p>
        </w:tc>
        <w:tc>
          <w:tcPr>
            <w:tcW w:w="811" w:type="pct"/>
            <w:tcBorders>
              <w:tl2br w:val="nil"/>
              <w:tr2bl w:val="nil"/>
            </w:tcBorders>
            <w:shd w:val="clear" w:color="auto" w:fill="auto"/>
            <w:tcMar>
              <w:top w:w="12" w:type="dxa"/>
              <w:left w:w="12" w:type="dxa"/>
              <w:right w:w="12" w:type="dxa"/>
            </w:tcMar>
            <w:vAlign w:val="center"/>
          </w:tcPr>
          <w:p w14:paraId="03CD4AA5">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p>
        </w:tc>
      </w:tr>
      <w:tr w14:paraId="316CD1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3"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9E5B1AB">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BCC1179">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EF06D1A">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1224246062</w:t>
            </w:r>
          </w:p>
        </w:tc>
        <w:tc>
          <w:tcPr>
            <w:tcW w:w="1250" w:type="pct"/>
            <w:tcBorders>
              <w:tl2br w:val="nil"/>
              <w:tr2bl w:val="nil"/>
            </w:tcBorders>
            <w:shd w:val="clear" w:color="auto" w:fill="auto"/>
            <w:tcMar>
              <w:top w:w="12" w:type="dxa"/>
              <w:left w:w="12" w:type="dxa"/>
              <w:right w:w="12" w:type="dxa"/>
            </w:tcMar>
            <w:vAlign w:val="center"/>
          </w:tcPr>
          <w:p w14:paraId="208EE6E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汽车综合故障诊断</w:t>
            </w:r>
          </w:p>
          <w:p w14:paraId="10AC6A51">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Comprehensive fault diagnosis of automobiles</w:t>
            </w:r>
          </w:p>
        </w:tc>
        <w:tc>
          <w:tcPr>
            <w:tcW w:w="306" w:type="pct"/>
            <w:tcBorders>
              <w:tl2br w:val="nil"/>
              <w:tr2bl w:val="nil"/>
            </w:tcBorders>
            <w:shd w:val="clear" w:color="auto" w:fill="auto"/>
            <w:noWrap/>
            <w:tcMar>
              <w:top w:w="12" w:type="dxa"/>
              <w:left w:w="12" w:type="dxa"/>
              <w:right w:w="12" w:type="dxa"/>
            </w:tcMar>
            <w:vAlign w:val="center"/>
          </w:tcPr>
          <w:p w14:paraId="798BE770">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w:t>
            </w:r>
          </w:p>
        </w:tc>
        <w:tc>
          <w:tcPr>
            <w:tcW w:w="248" w:type="pct"/>
            <w:tcBorders>
              <w:tl2br w:val="nil"/>
              <w:tr2bl w:val="nil"/>
            </w:tcBorders>
            <w:shd w:val="clear" w:color="auto" w:fill="auto"/>
            <w:tcMar>
              <w:top w:w="12" w:type="dxa"/>
              <w:left w:w="12" w:type="dxa"/>
              <w:right w:w="12" w:type="dxa"/>
            </w:tcMar>
            <w:vAlign w:val="center"/>
          </w:tcPr>
          <w:p w14:paraId="41F3E1D1">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85" w:type="pct"/>
            <w:tcBorders>
              <w:tl2br w:val="nil"/>
              <w:tr2bl w:val="nil"/>
            </w:tcBorders>
            <w:shd w:val="clear" w:color="auto" w:fill="auto"/>
            <w:noWrap/>
            <w:tcMar>
              <w:top w:w="12" w:type="dxa"/>
              <w:left w:w="12" w:type="dxa"/>
              <w:right w:w="12" w:type="dxa"/>
            </w:tcMar>
            <w:vAlign w:val="center"/>
          </w:tcPr>
          <w:p w14:paraId="495D002D">
            <w:pPr>
              <w:jc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655032D9">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95" w:type="pct"/>
            <w:tcBorders>
              <w:tl2br w:val="nil"/>
              <w:tr2bl w:val="nil"/>
            </w:tcBorders>
            <w:shd w:val="clear" w:color="auto" w:fill="auto"/>
            <w:noWrap/>
            <w:tcMar>
              <w:top w:w="12" w:type="dxa"/>
              <w:left w:w="12" w:type="dxa"/>
              <w:right w:w="12" w:type="dxa"/>
            </w:tcMar>
            <w:vAlign w:val="center"/>
          </w:tcPr>
          <w:p w14:paraId="74FD3133">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000000"/>
                <w:kern w:val="0"/>
                <w:sz w:val="17"/>
                <w:szCs w:val="17"/>
                <w:highlight w:val="none"/>
                <w:lang w:val="en-US" w:eastAsia="zh-CN" w:bidi="ar"/>
              </w:rPr>
              <w:t>考查</w:t>
            </w:r>
          </w:p>
        </w:tc>
        <w:tc>
          <w:tcPr>
            <w:tcW w:w="327" w:type="pct"/>
            <w:tcBorders>
              <w:tl2br w:val="nil"/>
              <w:tr2bl w:val="nil"/>
            </w:tcBorders>
            <w:shd w:val="clear" w:color="auto" w:fill="auto"/>
            <w:noWrap/>
            <w:tcMar>
              <w:top w:w="12" w:type="dxa"/>
              <w:left w:w="12" w:type="dxa"/>
              <w:right w:w="12" w:type="dxa"/>
            </w:tcMar>
            <w:vAlign w:val="center"/>
          </w:tcPr>
          <w:p w14:paraId="37CC287D">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4</w:t>
            </w:r>
          </w:p>
        </w:tc>
        <w:tc>
          <w:tcPr>
            <w:tcW w:w="811" w:type="pct"/>
            <w:tcBorders>
              <w:tl2br w:val="nil"/>
              <w:tr2bl w:val="nil"/>
            </w:tcBorders>
            <w:shd w:val="clear" w:color="auto" w:fill="auto"/>
            <w:noWrap/>
            <w:tcMar>
              <w:top w:w="12" w:type="dxa"/>
              <w:left w:w="12" w:type="dxa"/>
              <w:right w:w="12" w:type="dxa"/>
            </w:tcMar>
            <w:vAlign w:val="center"/>
          </w:tcPr>
          <w:p w14:paraId="36DF8A16">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p>
        </w:tc>
      </w:tr>
      <w:tr w14:paraId="200928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61959F3">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E616E7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AECAE37">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1224546011</w:t>
            </w:r>
          </w:p>
        </w:tc>
        <w:tc>
          <w:tcPr>
            <w:tcW w:w="1250" w:type="pct"/>
            <w:tcBorders>
              <w:tl2br w:val="nil"/>
              <w:tr2bl w:val="nil"/>
            </w:tcBorders>
            <w:shd w:val="clear" w:color="auto" w:fill="auto"/>
            <w:tcMar>
              <w:top w:w="12" w:type="dxa"/>
              <w:left w:w="12" w:type="dxa"/>
              <w:right w:w="12" w:type="dxa"/>
            </w:tcMar>
            <w:vAlign w:val="center"/>
          </w:tcPr>
          <w:p w14:paraId="2F31FA35">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汽车钣金实训</w:t>
            </w:r>
          </w:p>
          <w:p w14:paraId="7A1BBC70">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Automobile bodywork training</w:t>
            </w:r>
          </w:p>
        </w:tc>
        <w:tc>
          <w:tcPr>
            <w:tcW w:w="306" w:type="pct"/>
            <w:tcBorders>
              <w:tl2br w:val="nil"/>
              <w:tr2bl w:val="nil"/>
            </w:tcBorders>
            <w:shd w:val="clear" w:color="auto" w:fill="auto"/>
            <w:noWrap/>
            <w:tcMar>
              <w:top w:w="12" w:type="dxa"/>
              <w:left w:w="12" w:type="dxa"/>
              <w:right w:w="12" w:type="dxa"/>
            </w:tcMar>
            <w:vAlign w:val="center"/>
          </w:tcPr>
          <w:p w14:paraId="49B52D92">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1</w:t>
            </w:r>
          </w:p>
        </w:tc>
        <w:tc>
          <w:tcPr>
            <w:tcW w:w="248" w:type="pct"/>
            <w:tcBorders>
              <w:tl2br w:val="nil"/>
              <w:tr2bl w:val="nil"/>
            </w:tcBorders>
            <w:shd w:val="clear" w:color="auto" w:fill="auto"/>
            <w:tcMar>
              <w:top w:w="12" w:type="dxa"/>
              <w:left w:w="12" w:type="dxa"/>
              <w:right w:w="12" w:type="dxa"/>
            </w:tcMar>
            <w:vAlign w:val="center"/>
          </w:tcPr>
          <w:p w14:paraId="31F8935E">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85" w:type="pct"/>
            <w:tcBorders>
              <w:tl2br w:val="nil"/>
              <w:tr2bl w:val="nil"/>
            </w:tcBorders>
            <w:shd w:val="clear" w:color="auto" w:fill="auto"/>
            <w:noWrap/>
            <w:tcMar>
              <w:top w:w="12" w:type="dxa"/>
              <w:left w:w="12" w:type="dxa"/>
              <w:right w:w="12" w:type="dxa"/>
            </w:tcMar>
            <w:vAlign w:val="center"/>
          </w:tcPr>
          <w:p w14:paraId="09A6AAA7">
            <w:pPr>
              <w:jc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17665D07">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lang w:val="en-US" w:eastAsia="zh-CN"/>
              </w:rPr>
              <w:t>30</w:t>
            </w:r>
          </w:p>
        </w:tc>
        <w:tc>
          <w:tcPr>
            <w:tcW w:w="295" w:type="pct"/>
            <w:tcBorders>
              <w:tl2br w:val="nil"/>
              <w:tr2bl w:val="nil"/>
            </w:tcBorders>
            <w:shd w:val="clear" w:color="auto" w:fill="auto"/>
            <w:noWrap/>
            <w:tcMar>
              <w:top w:w="12" w:type="dxa"/>
              <w:left w:w="12" w:type="dxa"/>
              <w:right w:w="12" w:type="dxa"/>
            </w:tcMar>
            <w:vAlign w:val="center"/>
          </w:tcPr>
          <w:p w14:paraId="755132DC">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000000"/>
                <w:kern w:val="0"/>
                <w:sz w:val="17"/>
                <w:szCs w:val="17"/>
                <w:highlight w:val="none"/>
                <w:lang w:val="en-US" w:eastAsia="zh-CN" w:bidi="ar"/>
              </w:rPr>
              <w:t>考查</w:t>
            </w:r>
          </w:p>
        </w:tc>
        <w:tc>
          <w:tcPr>
            <w:tcW w:w="327" w:type="pct"/>
            <w:tcBorders>
              <w:tl2br w:val="nil"/>
              <w:tr2bl w:val="nil"/>
            </w:tcBorders>
            <w:shd w:val="clear" w:color="auto" w:fill="auto"/>
            <w:noWrap/>
            <w:tcMar>
              <w:top w:w="12" w:type="dxa"/>
              <w:left w:w="12" w:type="dxa"/>
              <w:right w:w="12" w:type="dxa"/>
            </w:tcMar>
            <w:vAlign w:val="center"/>
          </w:tcPr>
          <w:p w14:paraId="1047372C">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4</w:t>
            </w:r>
          </w:p>
        </w:tc>
        <w:tc>
          <w:tcPr>
            <w:tcW w:w="811" w:type="pct"/>
            <w:tcBorders>
              <w:tl2br w:val="nil"/>
              <w:tr2bl w:val="nil"/>
            </w:tcBorders>
            <w:shd w:val="clear" w:color="auto" w:fill="auto"/>
            <w:noWrap/>
            <w:tcMar>
              <w:top w:w="12" w:type="dxa"/>
              <w:left w:w="12" w:type="dxa"/>
              <w:right w:w="12" w:type="dxa"/>
            </w:tcMar>
            <w:vAlign w:val="center"/>
          </w:tcPr>
          <w:p w14:paraId="1ACB0672">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p>
        </w:tc>
      </w:tr>
      <w:tr w14:paraId="180371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19554AF">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8DECCB8">
            <w:pPr>
              <w:adjustRightInd w:val="0"/>
              <w:spacing w:line="200" w:lineRule="exact"/>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A286881">
            <w:pPr>
              <w:adjustRightInd w:val="0"/>
              <w:snapToGrid w:val="0"/>
              <w:jc w:val="center"/>
              <w:rPr>
                <w:rFonts w:hint="eastAsia" w:ascii="Times New Roman" w:hAnsi="Times New Roman" w:cs="宋体"/>
                <w:bCs/>
                <w:sz w:val="17"/>
                <w:szCs w:val="17"/>
                <w:lang w:val="en-US" w:eastAsia="zh-CN"/>
              </w:rPr>
            </w:pPr>
            <w:r>
              <w:rPr>
                <w:rFonts w:hint="eastAsia" w:ascii="Times New Roman" w:hAnsi="Times New Roman" w:cs="宋体"/>
                <w:bCs/>
                <w:sz w:val="17"/>
                <w:szCs w:val="17"/>
                <w:lang w:val="en-US" w:eastAsia="zh-CN"/>
              </w:rPr>
              <w:t>1224646001</w:t>
            </w:r>
          </w:p>
        </w:tc>
        <w:tc>
          <w:tcPr>
            <w:tcW w:w="1250" w:type="pct"/>
            <w:tcBorders>
              <w:tl2br w:val="nil"/>
              <w:tr2bl w:val="nil"/>
            </w:tcBorders>
            <w:shd w:val="clear" w:color="auto" w:fill="auto"/>
            <w:tcMar>
              <w:top w:w="12" w:type="dxa"/>
              <w:left w:w="12" w:type="dxa"/>
              <w:right w:w="12" w:type="dxa"/>
            </w:tcMar>
            <w:vAlign w:val="center"/>
          </w:tcPr>
          <w:p w14:paraId="22719311">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顶岗实习及毕业实践</w:t>
            </w:r>
          </w:p>
          <w:p w14:paraId="06E64D3B">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Job Internship and Graduation Practice</w:t>
            </w:r>
          </w:p>
        </w:tc>
        <w:tc>
          <w:tcPr>
            <w:tcW w:w="306" w:type="pct"/>
            <w:tcBorders>
              <w:tl2br w:val="nil"/>
              <w:tr2bl w:val="nil"/>
            </w:tcBorders>
            <w:shd w:val="clear" w:color="auto" w:fill="auto"/>
            <w:noWrap/>
            <w:tcMar>
              <w:top w:w="12" w:type="dxa"/>
              <w:left w:w="12" w:type="dxa"/>
              <w:right w:w="12" w:type="dxa"/>
            </w:tcMar>
            <w:vAlign w:val="center"/>
          </w:tcPr>
          <w:p w14:paraId="6927E100">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28</w:t>
            </w:r>
          </w:p>
        </w:tc>
        <w:tc>
          <w:tcPr>
            <w:tcW w:w="248" w:type="pct"/>
            <w:tcBorders>
              <w:tl2br w:val="nil"/>
              <w:tr2bl w:val="nil"/>
            </w:tcBorders>
            <w:shd w:val="clear" w:color="auto" w:fill="auto"/>
            <w:tcMar>
              <w:top w:w="12" w:type="dxa"/>
              <w:left w:w="12" w:type="dxa"/>
              <w:right w:w="12" w:type="dxa"/>
            </w:tcMar>
            <w:vAlign w:val="center"/>
          </w:tcPr>
          <w:p w14:paraId="3CB59708">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840</w:t>
            </w:r>
          </w:p>
        </w:tc>
        <w:tc>
          <w:tcPr>
            <w:tcW w:w="285" w:type="pct"/>
            <w:tcBorders>
              <w:tl2br w:val="nil"/>
              <w:tr2bl w:val="nil"/>
            </w:tcBorders>
            <w:shd w:val="clear" w:color="auto" w:fill="auto"/>
            <w:noWrap/>
            <w:tcMar>
              <w:top w:w="12" w:type="dxa"/>
              <w:left w:w="12" w:type="dxa"/>
              <w:right w:w="12" w:type="dxa"/>
            </w:tcMar>
            <w:vAlign w:val="center"/>
          </w:tcPr>
          <w:p w14:paraId="2AED04B4">
            <w:pPr>
              <w:widowControl/>
              <w:jc w:val="center"/>
              <w:textAlignment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1D9563E5">
            <w:pPr>
              <w:jc w:val="center"/>
              <w:rPr>
                <w:rFonts w:hint="default"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cstheme="minorEastAsia"/>
                <w:color w:val="auto"/>
                <w:sz w:val="17"/>
                <w:szCs w:val="17"/>
                <w:lang w:val="en-US" w:eastAsia="zh-CN"/>
              </w:rPr>
              <w:t>840</w:t>
            </w:r>
          </w:p>
        </w:tc>
        <w:tc>
          <w:tcPr>
            <w:tcW w:w="295" w:type="pct"/>
            <w:tcBorders>
              <w:tl2br w:val="nil"/>
              <w:tr2bl w:val="nil"/>
            </w:tcBorders>
            <w:shd w:val="clear" w:color="auto" w:fill="auto"/>
            <w:noWrap/>
            <w:tcMar>
              <w:top w:w="12" w:type="dxa"/>
              <w:left w:w="12" w:type="dxa"/>
              <w:right w:w="12" w:type="dxa"/>
            </w:tcMar>
            <w:vAlign w:val="center"/>
          </w:tcPr>
          <w:p w14:paraId="089492E1">
            <w:pPr>
              <w:adjustRightInd w:val="0"/>
              <w:spacing w:line="200" w:lineRule="exact"/>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000000"/>
                <w:kern w:val="0"/>
                <w:sz w:val="17"/>
                <w:szCs w:val="17"/>
                <w:highlight w:val="none"/>
                <w:lang w:val="en-US" w:eastAsia="zh-CN" w:bidi="ar"/>
              </w:rPr>
              <w:t>考查</w:t>
            </w:r>
          </w:p>
        </w:tc>
        <w:tc>
          <w:tcPr>
            <w:tcW w:w="327" w:type="pct"/>
            <w:tcBorders>
              <w:tl2br w:val="nil"/>
              <w:tr2bl w:val="nil"/>
            </w:tcBorders>
            <w:shd w:val="clear" w:color="auto" w:fill="auto"/>
            <w:noWrap/>
            <w:tcMar>
              <w:top w:w="12" w:type="dxa"/>
              <w:left w:w="12" w:type="dxa"/>
              <w:right w:w="12" w:type="dxa"/>
            </w:tcMar>
            <w:vAlign w:val="center"/>
          </w:tcPr>
          <w:p w14:paraId="41C3DF0C">
            <w:pPr>
              <w:jc w:val="center"/>
              <w:rPr>
                <w:rFonts w:hint="eastAsia" w:asciiTheme="minorEastAsia" w:hAnsiTheme="minorEastAsia" w:eastAsiaTheme="minorEastAsia" w:cstheme="minorEastAsia"/>
                <w:bCs/>
                <w:kern w:val="0"/>
                <w:sz w:val="17"/>
                <w:szCs w:val="17"/>
                <w:highlight w:val="none"/>
                <w:lang w:val="en-US" w:eastAsia="zh-CN"/>
              </w:rPr>
            </w:pPr>
            <w:r>
              <w:rPr>
                <w:rFonts w:hint="eastAsia" w:asciiTheme="minorEastAsia" w:hAnsiTheme="minorEastAsia" w:eastAsiaTheme="minorEastAsia" w:cstheme="minorEastAsia"/>
                <w:color w:val="auto"/>
                <w:sz w:val="17"/>
                <w:szCs w:val="17"/>
              </w:rPr>
              <w:t>5</w:t>
            </w:r>
            <w:r>
              <w:rPr>
                <w:rFonts w:hint="eastAsia" w:asciiTheme="minorEastAsia" w:hAnsiTheme="minorEastAsia" w:eastAsiaTheme="minorEastAsia" w:cstheme="minorEastAsia"/>
                <w:color w:val="auto"/>
                <w:sz w:val="17"/>
                <w:szCs w:val="17"/>
                <w:lang w:val="en-US" w:eastAsia="zh-CN"/>
              </w:rPr>
              <w:t>-6</w:t>
            </w:r>
          </w:p>
        </w:tc>
        <w:tc>
          <w:tcPr>
            <w:tcW w:w="811" w:type="pct"/>
            <w:tcBorders>
              <w:tl2br w:val="nil"/>
              <w:tr2bl w:val="nil"/>
            </w:tcBorders>
            <w:shd w:val="clear" w:color="auto" w:fill="auto"/>
            <w:noWrap/>
            <w:tcMar>
              <w:top w:w="12" w:type="dxa"/>
              <w:left w:w="12" w:type="dxa"/>
              <w:right w:w="12" w:type="dxa"/>
            </w:tcMar>
            <w:vAlign w:val="center"/>
          </w:tcPr>
          <w:p w14:paraId="67F57BC0">
            <w:pPr>
              <w:widowControl/>
              <w:jc w:val="center"/>
              <w:textAlignment w:val="center"/>
              <w:rPr>
                <w:rFonts w:hint="eastAsia" w:asciiTheme="minorEastAsia" w:hAnsiTheme="minorEastAsia" w:eastAsiaTheme="minorEastAsia" w:cstheme="minorEastAsia"/>
                <w:bCs/>
                <w:kern w:val="0"/>
                <w:sz w:val="17"/>
                <w:szCs w:val="17"/>
                <w:highlight w:val="none"/>
                <w:lang w:val="en-US" w:eastAsia="zh-CN"/>
              </w:rPr>
            </w:pPr>
          </w:p>
        </w:tc>
      </w:tr>
      <w:tr w14:paraId="4FE05D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889CE81">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1CC1468">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1895" w:type="pct"/>
            <w:gridSpan w:val="2"/>
            <w:tcBorders>
              <w:tl2br w:val="nil"/>
              <w:tr2bl w:val="nil"/>
            </w:tcBorders>
            <w:shd w:val="clear" w:color="auto" w:fill="auto"/>
            <w:noWrap/>
            <w:tcMar>
              <w:top w:w="12" w:type="dxa"/>
              <w:left w:w="12" w:type="dxa"/>
              <w:right w:w="12" w:type="dxa"/>
            </w:tcMar>
            <w:vAlign w:val="center"/>
          </w:tcPr>
          <w:p w14:paraId="4C53D84B">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306" w:type="pct"/>
            <w:tcBorders>
              <w:tl2br w:val="nil"/>
              <w:tr2bl w:val="nil"/>
            </w:tcBorders>
            <w:shd w:val="clear" w:color="auto" w:fill="auto"/>
            <w:noWrap/>
            <w:tcMar>
              <w:top w:w="12" w:type="dxa"/>
              <w:left w:w="12" w:type="dxa"/>
              <w:right w:w="12" w:type="dxa"/>
            </w:tcMar>
            <w:vAlign w:val="center"/>
          </w:tcPr>
          <w:p w14:paraId="6D6F8F93">
            <w:pPr>
              <w:jc w:val="center"/>
              <w:rPr>
                <w:rFonts w:hint="default" w:ascii="Times New Roman" w:hAnsi="Times New Roman" w:cs="Times New Roman" w:eastAsiaTheme="minorEastAsia"/>
                <w:b/>
                <w:bCs w:val="0"/>
                <w:kern w:val="0"/>
                <w:sz w:val="17"/>
                <w:szCs w:val="17"/>
                <w:highlight w:val="none"/>
                <w:lang w:val="en-US" w:eastAsia="zh-CN"/>
              </w:rPr>
            </w:pPr>
            <w:r>
              <w:rPr>
                <w:rFonts w:hint="eastAsia" w:ascii="Times New Roman" w:hAnsi="Times New Roman" w:eastAsia="宋体" w:cs="Times New Roman"/>
                <w:b/>
                <w:bCs/>
                <w:color w:val="auto"/>
                <w:sz w:val="18"/>
                <w:szCs w:val="18"/>
                <w:lang w:val="en-US" w:eastAsia="zh-CN"/>
              </w:rPr>
              <w:t>35</w:t>
            </w:r>
          </w:p>
        </w:tc>
        <w:tc>
          <w:tcPr>
            <w:tcW w:w="248" w:type="pct"/>
            <w:tcBorders>
              <w:tl2br w:val="nil"/>
              <w:tr2bl w:val="nil"/>
            </w:tcBorders>
            <w:shd w:val="clear" w:color="auto" w:fill="auto"/>
            <w:noWrap/>
            <w:tcMar>
              <w:top w:w="12" w:type="dxa"/>
              <w:left w:w="12" w:type="dxa"/>
              <w:right w:w="12" w:type="dxa"/>
            </w:tcMar>
            <w:vAlign w:val="center"/>
          </w:tcPr>
          <w:p w14:paraId="15613482">
            <w:pPr>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eastAsia="宋体" w:cs="Times New Roman"/>
                <w:b/>
                <w:bCs/>
                <w:color w:val="auto"/>
                <w:sz w:val="18"/>
                <w:szCs w:val="18"/>
                <w:lang w:val="en-US" w:eastAsia="zh-CN"/>
              </w:rPr>
              <w:t>1036</w:t>
            </w:r>
          </w:p>
        </w:tc>
        <w:tc>
          <w:tcPr>
            <w:tcW w:w="285" w:type="pct"/>
            <w:tcBorders>
              <w:tl2br w:val="nil"/>
              <w:tr2bl w:val="nil"/>
            </w:tcBorders>
            <w:shd w:val="clear" w:color="auto" w:fill="auto"/>
            <w:noWrap/>
            <w:tcMar>
              <w:top w:w="12" w:type="dxa"/>
              <w:left w:w="12" w:type="dxa"/>
              <w:right w:w="12" w:type="dxa"/>
            </w:tcMar>
            <w:vAlign w:val="center"/>
          </w:tcPr>
          <w:p w14:paraId="12E4D6BD">
            <w:pPr>
              <w:widowControl/>
              <w:jc w:val="center"/>
              <w:textAlignment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8</w:t>
            </w:r>
          </w:p>
        </w:tc>
        <w:tc>
          <w:tcPr>
            <w:tcW w:w="301" w:type="pct"/>
            <w:tcBorders>
              <w:tl2br w:val="nil"/>
              <w:tr2bl w:val="nil"/>
            </w:tcBorders>
            <w:shd w:val="clear" w:color="auto" w:fill="auto"/>
            <w:noWrap/>
            <w:tcMar>
              <w:top w:w="12" w:type="dxa"/>
              <w:left w:w="12" w:type="dxa"/>
              <w:right w:w="12" w:type="dxa"/>
            </w:tcMar>
            <w:vAlign w:val="center"/>
          </w:tcPr>
          <w:p w14:paraId="7451F1ED">
            <w:pPr>
              <w:widowControl/>
              <w:jc w:val="center"/>
              <w:textAlignment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1028</w:t>
            </w:r>
          </w:p>
        </w:tc>
        <w:tc>
          <w:tcPr>
            <w:tcW w:w="295" w:type="pct"/>
            <w:tcBorders>
              <w:tl2br w:val="nil"/>
              <w:tr2bl w:val="nil"/>
            </w:tcBorders>
            <w:shd w:val="clear" w:color="auto" w:fill="auto"/>
            <w:noWrap/>
            <w:tcMar>
              <w:top w:w="12" w:type="dxa"/>
              <w:left w:w="12" w:type="dxa"/>
              <w:right w:w="12" w:type="dxa"/>
            </w:tcMar>
            <w:vAlign w:val="center"/>
          </w:tcPr>
          <w:p w14:paraId="6E37738E">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327" w:type="pct"/>
            <w:tcBorders>
              <w:tl2br w:val="nil"/>
              <w:tr2bl w:val="nil"/>
            </w:tcBorders>
            <w:shd w:val="clear" w:color="auto" w:fill="auto"/>
            <w:noWrap/>
            <w:tcMar>
              <w:top w:w="12" w:type="dxa"/>
              <w:left w:w="12" w:type="dxa"/>
              <w:right w:w="12" w:type="dxa"/>
            </w:tcMar>
            <w:vAlign w:val="center"/>
          </w:tcPr>
          <w:p w14:paraId="0178170D">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811" w:type="pct"/>
            <w:tcBorders>
              <w:tl2br w:val="nil"/>
              <w:tr2bl w:val="nil"/>
            </w:tcBorders>
            <w:shd w:val="clear" w:color="auto" w:fill="auto"/>
            <w:noWrap/>
            <w:tcMar>
              <w:top w:w="12" w:type="dxa"/>
              <w:left w:w="12" w:type="dxa"/>
              <w:right w:w="12" w:type="dxa"/>
            </w:tcMar>
            <w:vAlign w:val="center"/>
          </w:tcPr>
          <w:p w14:paraId="7C0CFEA0">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r>
      <w:tr w14:paraId="6DAC52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424" w:type="pct"/>
            <w:gridSpan w:val="4"/>
            <w:tcBorders>
              <w:tl2br w:val="nil"/>
              <w:tr2bl w:val="nil"/>
            </w:tcBorders>
            <w:shd w:val="clear" w:color="auto" w:fill="auto"/>
            <w:tcMar>
              <w:top w:w="12" w:type="dxa"/>
              <w:left w:w="12" w:type="dxa"/>
              <w:right w:w="12" w:type="dxa"/>
            </w:tcMar>
            <w:vAlign w:val="center"/>
          </w:tcPr>
          <w:p w14:paraId="5E330AAD">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必修课总计</w:t>
            </w:r>
          </w:p>
        </w:tc>
        <w:tc>
          <w:tcPr>
            <w:tcW w:w="306" w:type="pct"/>
            <w:tcBorders>
              <w:tl2br w:val="nil"/>
              <w:tr2bl w:val="nil"/>
            </w:tcBorders>
            <w:shd w:val="clear" w:color="auto" w:fill="auto"/>
            <w:tcMar>
              <w:top w:w="12" w:type="dxa"/>
              <w:left w:w="12" w:type="dxa"/>
              <w:right w:w="12" w:type="dxa"/>
            </w:tcMar>
            <w:vAlign w:val="center"/>
          </w:tcPr>
          <w:p w14:paraId="03AC73A5">
            <w:pPr>
              <w:jc w:val="center"/>
              <w:rPr>
                <w:rFonts w:hint="default" w:ascii="Times New Roman" w:hAnsi="Times New Roman" w:eastAsia="宋体" w:cs="Times New Roman"/>
                <w:b/>
                <w:bCs w:val="0"/>
                <w:kern w:val="0"/>
                <w:sz w:val="17"/>
                <w:szCs w:val="17"/>
                <w:highlight w:val="none"/>
                <w:lang w:val="en-US" w:eastAsia="zh-CN"/>
              </w:rPr>
            </w:pPr>
            <w:r>
              <w:rPr>
                <w:rFonts w:ascii="Times New Roman" w:hAnsi="Times New Roman" w:eastAsia="宋体" w:cs="Times New Roman"/>
                <w:b/>
                <w:bCs/>
                <w:color w:val="auto"/>
                <w:kern w:val="0"/>
                <w:sz w:val="18"/>
                <w:szCs w:val="18"/>
                <w:lang w:bidi="ar"/>
              </w:rPr>
              <w:t>1</w:t>
            </w:r>
            <w:r>
              <w:rPr>
                <w:rFonts w:hint="eastAsia" w:ascii="Times New Roman" w:hAnsi="Times New Roman" w:eastAsia="宋体" w:cs="Times New Roman"/>
                <w:b/>
                <w:bCs/>
                <w:color w:val="auto"/>
                <w:kern w:val="0"/>
                <w:sz w:val="18"/>
                <w:szCs w:val="18"/>
                <w:lang w:val="en-US" w:eastAsia="zh-CN" w:bidi="ar"/>
              </w:rPr>
              <w:t>03.5</w:t>
            </w:r>
          </w:p>
        </w:tc>
        <w:tc>
          <w:tcPr>
            <w:tcW w:w="248" w:type="pct"/>
            <w:tcBorders>
              <w:tl2br w:val="nil"/>
              <w:tr2bl w:val="nil"/>
            </w:tcBorders>
            <w:shd w:val="clear" w:color="auto" w:fill="auto"/>
            <w:tcMar>
              <w:top w:w="12" w:type="dxa"/>
              <w:left w:w="12" w:type="dxa"/>
              <w:right w:w="12" w:type="dxa"/>
            </w:tcMar>
            <w:vAlign w:val="center"/>
          </w:tcPr>
          <w:p w14:paraId="45B6832E">
            <w:pPr>
              <w:jc w:val="center"/>
              <w:rPr>
                <w:rFonts w:hint="default" w:ascii="Times New Roman" w:hAnsi="Times New Roman" w:eastAsia="宋体" w:cs="Times New Roman"/>
                <w:b/>
                <w:bCs w:val="0"/>
                <w:kern w:val="0"/>
                <w:sz w:val="17"/>
                <w:szCs w:val="17"/>
                <w:highlight w:val="none"/>
                <w:lang w:val="en-US" w:eastAsia="zh-CN"/>
              </w:rPr>
            </w:pPr>
            <w:r>
              <w:rPr>
                <w:rFonts w:ascii="Times New Roman" w:hAnsi="Times New Roman" w:eastAsia="宋体" w:cs="Times New Roman"/>
                <w:b/>
                <w:bCs/>
                <w:color w:val="auto"/>
                <w:kern w:val="0"/>
                <w:sz w:val="18"/>
                <w:szCs w:val="18"/>
                <w:lang w:bidi="ar"/>
              </w:rPr>
              <w:t>2</w:t>
            </w:r>
            <w:r>
              <w:rPr>
                <w:rFonts w:hint="eastAsia" w:ascii="Times New Roman" w:hAnsi="Times New Roman" w:eastAsia="宋体" w:cs="Times New Roman"/>
                <w:b/>
                <w:bCs/>
                <w:color w:val="auto"/>
                <w:kern w:val="0"/>
                <w:sz w:val="18"/>
                <w:szCs w:val="18"/>
                <w:lang w:val="en-US" w:eastAsia="zh-CN" w:bidi="ar"/>
              </w:rPr>
              <w:t>270</w:t>
            </w:r>
          </w:p>
        </w:tc>
        <w:tc>
          <w:tcPr>
            <w:tcW w:w="285" w:type="pct"/>
            <w:tcBorders>
              <w:tl2br w:val="nil"/>
              <w:tr2bl w:val="nil"/>
            </w:tcBorders>
            <w:shd w:val="clear" w:color="auto" w:fill="auto"/>
            <w:tcMar>
              <w:top w:w="12" w:type="dxa"/>
              <w:left w:w="12" w:type="dxa"/>
              <w:right w:w="12" w:type="dxa"/>
            </w:tcMar>
            <w:vAlign w:val="center"/>
          </w:tcPr>
          <w:p w14:paraId="2BADBB0D">
            <w:pPr>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eastAsia="宋体" w:cs="Times New Roman"/>
                <w:b/>
                <w:bCs/>
                <w:color w:val="auto"/>
                <w:kern w:val="0"/>
                <w:sz w:val="18"/>
                <w:szCs w:val="18"/>
                <w:lang w:val="en-US" w:eastAsia="zh-CN" w:bidi="ar"/>
              </w:rPr>
              <w:t>904</w:t>
            </w:r>
          </w:p>
        </w:tc>
        <w:tc>
          <w:tcPr>
            <w:tcW w:w="301" w:type="pct"/>
            <w:tcBorders>
              <w:tl2br w:val="nil"/>
              <w:tr2bl w:val="nil"/>
            </w:tcBorders>
            <w:shd w:val="clear" w:color="auto" w:fill="auto"/>
            <w:tcMar>
              <w:top w:w="12" w:type="dxa"/>
              <w:left w:w="12" w:type="dxa"/>
              <w:right w:w="12" w:type="dxa"/>
            </w:tcMar>
            <w:vAlign w:val="center"/>
          </w:tcPr>
          <w:p w14:paraId="39C301DD">
            <w:pPr>
              <w:jc w:val="center"/>
              <w:rPr>
                <w:rFonts w:hint="default" w:ascii="Times New Roman" w:hAnsi="Times New Roman" w:eastAsia="宋体" w:cs="Times New Roman"/>
                <w:b/>
                <w:bCs w:val="0"/>
                <w:kern w:val="0"/>
                <w:sz w:val="17"/>
                <w:szCs w:val="17"/>
                <w:highlight w:val="none"/>
                <w:lang w:val="en-US" w:eastAsia="zh-CN"/>
              </w:rPr>
            </w:pPr>
            <w:r>
              <w:rPr>
                <w:rFonts w:hint="eastAsia" w:ascii="Times New Roman" w:hAnsi="Times New Roman" w:eastAsia="宋体" w:cs="Times New Roman"/>
                <w:b/>
                <w:bCs/>
                <w:color w:val="auto"/>
                <w:kern w:val="0"/>
                <w:sz w:val="18"/>
                <w:szCs w:val="18"/>
                <w:lang w:bidi="ar"/>
              </w:rPr>
              <w:t>1</w:t>
            </w:r>
            <w:r>
              <w:rPr>
                <w:rFonts w:hint="eastAsia" w:ascii="Times New Roman" w:hAnsi="Times New Roman" w:eastAsia="宋体" w:cs="Times New Roman"/>
                <w:b/>
                <w:bCs/>
                <w:color w:val="auto"/>
                <w:kern w:val="0"/>
                <w:sz w:val="18"/>
                <w:szCs w:val="18"/>
                <w:lang w:val="en-US" w:eastAsia="zh-CN" w:bidi="ar"/>
              </w:rPr>
              <w:t>366</w:t>
            </w:r>
          </w:p>
        </w:tc>
        <w:tc>
          <w:tcPr>
            <w:tcW w:w="295" w:type="pct"/>
            <w:tcBorders>
              <w:tl2br w:val="nil"/>
              <w:tr2bl w:val="nil"/>
            </w:tcBorders>
            <w:shd w:val="clear" w:color="auto" w:fill="auto"/>
            <w:tcMar>
              <w:top w:w="12" w:type="dxa"/>
              <w:left w:w="12" w:type="dxa"/>
              <w:right w:w="12" w:type="dxa"/>
            </w:tcMar>
            <w:vAlign w:val="center"/>
          </w:tcPr>
          <w:p w14:paraId="1E593754">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0EAEE100">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c>
          <w:tcPr>
            <w:tcW w:w="811" w:type="pct"/>
            <w:tcBorders>
              <w:tl2br w:val="nil"/>
              <w:tr2bl w:val="nil"/>
            </w:tcBorders>
            <w:shd w:val="clear" w:color="auto" w:fill="auto"/>
            <w:tcMar>
              <w:top w:w="12" w:type="dxa"/>
              <w:left w:w="12" w:type="dxa"/>
              <w:right w:w="12" w:type="dxa"/>
            </w:tcMar>
            <w:vAlign w:val="center"/>
          </w:tcPr>
          <w:p w14:paraId="7873B061">
            <w:pPr>
              <w:adjustRightInd w:val="0"/>
              <w:spacing w:line="200" w:lineRule="exact"/>
              <w:jc w:val="center"/>
              <w:rPr>
                <w:rFonts w:hint="default" w:ascii="Times New Roman" w:hAnsi="Times New Roman" w:cs="Times New Roman"/>
                <w:b/>
                <w:bCs w:val="0"/>
                <w:kern w:val="0"/>
                <w:sz w:val="17"/>
                <w:szCs w:val="17"/>
                <w:highlight w:val="none"/>
                <w:lang w:val="en-US" w:eastAsia="zh-CN"/>
              </w:rPr>
            </w:pPr>
          </w:p>
        </w:tc>
      </w:tr>
      <w:tr w14:paraId="719376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5000" w:type="pct"/>
            <w:gridSpan w:val="11"/>
            <w:tcBorders>
              <w:tl2br w:val="nil"/>
              <w:tr2bl w:val="nil"/>
            </w:tcBorders>
            <w:shd w:val="clear" w:color="auto" w:fill="auto"/>
            <w:tcMar>
              <w:top w:w="12" w:type="dxa"/>
              <w:left w:w="12" w:type="dxa"/>
              <w:right w:w="12" w:type="dxa"/>
            </w:tcMar>
            <w:vAlign w:val="center"/>
          </w:tcPr>
          <w:p w14:paraId="07C304DA">
            <w:pPr>
              <w:adjustRightInd w:val="0"/>
              <w:spacing w:line="200" w:lineRule="exact"/>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总学分/学时：</w:t>
            </w:r>
            <w:r>
              <w:rPr>
                <w:rFonts w:ascii="Times New Roman" w:hAnsi="Times New Roman" w:eastAsia="宋体" w:cs="Times New Roman"/>
                <w:b/>
                <w:bCs/>
                <w:color w:val="auto"/>
                <w:sz w:val="18"/>
                <w:szCs w:val="18"/>
              </w:rPr>
              <w:t>1</w:t>
            </w:r>
            <w:r>
              <w:rPr>
                <w:rFonts w:hint="eastAsia" w:ascii="Times New Roman" w:hAnsi="Times New Roman" w:eastAsia="宋体" w:cs="Times New Roman"/>
                <w:b/>
                <w:bCs/>
                <w:color w:val="auto"/>
                <w:sz w:val="18"/>
                <w:szCs w:val="18"/>
                <w:lang w:val="en-US" w:eastAsia="zh-CN"/>
              </w:rPr>
              <w:t>22.5</w:t>
            </w:r>
            <w:r>
              <w:rPr>
                <w:rFonts w:ascii="Times New Roman" w:hAnsi="Times New Roman" w:eastAsia="宋体" w:cs="Times New Roman"/>
                <w:b/>
                <w:bCs/>
                <w:color w:val="auto"/>
                <w:sz w:val="18"/>
                <w:szCs w:val="18"/>
              </w:rPr>
              <w:t>/</w:t>
            </w:r>
            <w:r>
              <w:rPr>
                <w:rFonts w:hint="eastAsia" w:ascii="Times New Roman" w:hAnsi="Times New Roman" w:eastAsia="宋体" w:cs="Times New Roman"/>
                <w:b/>
                <w:bCs/>
                <w:color w:val="auto"/>
                <w:sz w:val="18"/>
                <w:szCs w:val="18"/>
                <w:lang w:val="en-US" w:eastAsia="zh-CN"/>
              </w:rPr>
              <w:t>2574</w:t>
            </w:r>
            <w:r>
              <w:rPr>
                <w:rFonts w:ascii="Times New Roman" w:hAnsi="Times New Roman" w:eastAsia="宋体" w:cs="Times New Roman"/>
                <w:b/>
                <w:bCs/>
                <w:color w:val="auto"/>
                <w:sz w:val="18"/>
                <w:szCs w:val="18"/>
              </w:rPr>
              <w:t>其中 必修课学分/学时：1</w:t>
            </w:r>
            <w:r>
              <w:rPr>
                <w:rFonts w:hint="eastAsia" w:ascii="Times New Roman" w:hAnsi="Times New Roman" w:eastAsia="宋体" w:cs="Times New Roman"/>
                <w:b/>
                <w:bCs/>
                <w:color w:val="auto"/>
                <w:sz w:val="18"/>
                <w:szCs w:val="18"/>
                <w:lang w:val="en-US" w:eastAsia="zh-CN"/>
              </w:rPr>
              <w:t>03.5</w:t>
            </w:r>
            <w:r>
              <w:rPr>
                <w:rFonts w:ascii="Times New Roman" w:hAnsi="Times New Roman" w:eastAsia="宋体" w:cs="Times New Roman"/>
                <w:b/>
                <w:bCs/>
                <w:color w:val="auto"/>
                <w:sz w:val="18"/>
                <w:szCs w:val="18"/>
              </w:rPr>
              <w:t>/</w:t>
            </w:r>
            <w:r>
              <w:rPr>
                <w:rFonts w:hint="eastAsia" w:ascii="Times New Roman" w:hAnsi="Times New Roman" w:eastAsia="宋体" w:cs="Times New Roman"/>
                <w:b/>
                <w:bCs/>
                <w:color w:val="auto"/>
                <w:sz w:val="18"/>
                <w:szCs w:val="18"/>
                <w:lang w:val="en-US" w:eastAsia="zh-CN"/>
              </w:rPr>
              <w:t>2270</w:t>
            </w:r>
            <w:r>
              <w:rPr>
                <w:rFonts w:ascii="Times New Roman" w:hAnsi="Times New Roman" w:eastAsia="宋体" w:cs="Times New Roman"/>
                <w:b/>
                <w:bCs/>
                <w:color w:val="auto"/>
                <w:sz w:val="18"/>
                <w:szCs w:val="18"/>
              </w:rPr>
              <w:t xml:space="preserve"> 选修课学分/学时：1</w:t>
            </w:r>
            <w:r>
              <w:rPr>
                <w:rFonts w:hint="eastAsia" w:ascii="Times New Roman" w:hAnsi="Times New Roman" w:eastAsia="宋体" w:cs="Times New Roman"/>
                <w:b/>
                <w:bCs/>
                <w:color w:val="auto"/>
                <w:sz w:val="18"/>
                <w:szCs w:val="18"/>
                <w:lang w:val="en-US" w:eastAsia="zh-CN"/>
              </w:rPr>
              <w:t>9</w:t>
            </w:r>
            <w:r>
              <w:rPr>
                <w:rFonts w:ascii="Times New Roman" w:hAnsi="Times New Roman" w:eastAsia="宋体" w:cs="Times New Roman"/>
                <w:b/>
                <w:bCs/>
                <w:color w:val="auto"/>
                <w:sz w:val="18"/>
                <w:szCs w:val="18"/>
              </w:rPr>
              <w:t>/</w:t>
            </w:r>
            <w:r>
              <w:rPr>
                <w:rFonts w:hint="eastAsia" w:ascii="Times New Roman" w:hAnsi="Times New Roman" w:eastAsia="宋体" w:cs="Times New Roman"/>
                <w:b/>
                <w:bCs/>
                <w:color w:val="auto"/>
                <w:sz w:val="18"/>
                <w:szCs w:val="18"/>
                <w:lang w:val="en-US" w:eastAsia="zh-CN"/>
              </w:rPr>
              <w:t>304</w:t>
            </w:r>
          </w:p>
        </w:tc>
      </w:tr>
    </w:tbl>
    <w:p w14:paraId="6766EB2A">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422" w:firstLineChars="200"/>
        <w:textAlignment w:val="auto"/>
        <w:outlineLvl w:val="0"/>
        <w:rPr>
          <w:rFonts w:hint="eastAsia" w:ascii="宋体" w:hAnsi="宋体" w:eastAsia="宋体" w:cs="宋体"/>
          <w:b/>
          <w:szCs w:val="32"/>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0F99333">
      <w:pPr>
        <w:keepNext w:val="0"/>
        <w:keepLines w:val="0"/>
        <w:pageBreakBefore w:val="0"/>
        <w:widowControl w:val="0"/>
        <w:kinsoku/>
        <w:wordWrap/>
        <w:overflowPunct w:val="0"/>
        <w:topLinePunct w:val="0"/>
        <w:autoSpaceDE/>
        <w:autoSpaceDN/>
        <w:bidi w:val="0"/>
        <w:adjustRightInd w:val="0"/>
        <w:snapToGrid/>
        <w:spacing w:before="63" w:beforeLines="20" w:after="63" w:afterLines="20" w:line="240" w:lineRule="exact"/>
        <w:ind w:firstLine="1687" w:firstLineChars="8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（三）课程设置流程图</w:t>
      </w:r>
    </w:p>
    <w:p w14:paraId="1BDF38F5">
      <w:pPr>
        <w:pStyle w:val="18"/>
        <w:keepNext w:val="0"/>
        <w:keepLines w:val="0"/>
        <w:pageBreakBefore w:val="0"/>
        <w:widowControl w:val="0"/>
        <w:kinsoku/>
        <w:wordWrap/>
        <w:overflowPunct/>
        <w:topLinePunct w:val="0"/>
        <w:autoSpaceDE/>
        <w:autoSpaceDN/>
        <w:bidi w:val="0"/>
        <w:adjustRightInd/>
        <w:snapToGrid/>
        <w:spacing w:before="0" w:after="0"/>
        <w:ind w:firstLine="420"/>
        <w:jc w:val="center"/>
        <w:textAlignment w:val="auto"/>
        <w:rPr>
          <w:rFonts w:hint="eastAsia" w:ascii="黑体" w:hAnsi="黑体" w:eastAsia="黑体" w:cs="黑体"/>
          <w:bCs/>
          <w:sz w:val="24"/>
          <w:szCs w:val="24"/>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b/>
          <w:szCs w:val="32"/>
          <w:lang w:val="en-US" w:eastAsia="zh-CN"/>
        </w:rPr>
        <w:drawing>
          <wp:anchor distT="0" distB="0" distL="114300" distR="114300" simplePos="0" relativeHeight="251659264" behindDoc="0" locked="0" layoutInCell="1" allowOverlap="1">
            <wp:simplePos x="0" y="0"/>
            <wp:positionH relativeFrom="column">
              <wp:posOffset>218440</wp:posOffset>
            </wp:positionH>
            <wp:positionV relativeFrom="paragraph">
              <wp:posOffset>241935</wp:posOffset>
            </wp:positionV>
            <wp:extent cx="8934450" cy="4997450"/>
            <wp:effectExtent l="0" t="0" r="11430" b="1270"/>
            <wp:wrapSquare wrapText="bothSides"/>
            <wp:docPr id="1" name="图片 1" descr="02ca200a-f46e-40c8-b4de-958cd2528b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2ca200a-f46e-40c8-b4de-958cd2528bcd"/>
                    <pic:cNvPicPr>
                      <a:picLocks noChangeAspect="1"/>
                    </pic:cNvPicPr>
                  </pic:nvPicPr>
                  <pic:blipFill>
                    <a:blip r:embed="rId5"/>
                    <a:srcRect l="-50" t="3262"/>
                    <a:stretch>
                      <a:fillRect/>
                    </a:stretch>
                  </pic:blipFill>
                  <pic:spPr>
                    <a:xfrm>
                      <a:off x="0" y="0"/>
                      <a:ext cx="8934450" cy="4997450"/>
                    </a:xfrm>
                    <a:prstGeom prst="rect">
                      <a:avLst/>
                    </a:prstGeom>
                  </pic:spPr>
                </pic:pic>
              </a:graphicData>
            </a:graphic>
          </wp:anchor>
        </w:drawing>
      </w:r>
      <w:r>
        <w:rPr>
          <w:rFonts w:hint="eastAsia" w:ascii="黑体" w:hAnsi="黑体" w:eastAsia="黑体" w:cs="黑体"/>
          <w:color w:val="auto"/>
          <w:kern w:val="0"/>
          <w:szCs w:val="21"/>
          <w:highlight w:val="none"/>
          <w:lang w:val="en-US" w:eastAsia="zh-CN"/>
        </w:rPr>
        <w:t>汽车检测与维修技术专业课程配置流程图</w:t>
      </w:r>
    </w:p>
    <w:p w14:paraId="53A79FBD">
      <w:pPr>
        <w:keepNext w:val="0"/>
        <w:keepLines w:val="0"/>
        <w:pageBreakBefore w:val="0"/>
        <w:widowControl w:val="0"/>
        <w:kinsoku/>
        <w:wordWrap/>
        <w:topLinePunct w:val="0"/>
        <w:autoSpaceDE/>
        <w:autoSpaceDN/>
        <w:bidi w:val="0"/>
        <w:adjustRightInd w:val="0"/>
        <w:snapToGrid w:val="0"/>
        <w:spacing w:line="400" w:lineRule="exact"/>
        <w:ind w:firstLine="480" w:firstLineChars="200"/>
        <w:textAlignment w:val="auto"/>
        <w:rPr>
          <w:rFonts w:hint="eastAsia" w:ascii="黑体" w:hAnsi="黑体" w:eastAsia="黑体" w:cs="黑体"/>
          <w:bCs/>
          <w:sz w:val="24"/>
          <w:szCs w:val="24"/>
          <w:shd w:val="clear" w:color="auto" w:fill="auto"/>
        </w:rPr>
      </w:pPr>
      <w:r>
        <w:rPr>
          <w:rFonts w:hint="eastAsia" w:ascii="黑体" w:hAnsi="黑体" w:eastAsia="黑体" w:cs="黑体"/>
          <w:bCs/>
          <w:sz w:val="24"/>
          <w:szCs w:val="24"/>
        </w:rPr>
        <w:t>八、</w:t>
      </w:r>
      <w:r>
        <w:rPr>
          <w:rFonts w:hint="eastAsia" w:eastAsia="黑体"/>
          <w:sz w:val="24"/>
          <w:szCs w:val="24"/>
        </w:rPr>
        <w:t>实施保障</w:t>
      </w:r>
    </w:p>
    <w:p w14:paraId="4036054B">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主要包括师资队伍、教学设施、教学资源、教学方法、学习评价、质量管理等方面。</w:t>
      </w:r>
    </w:p>
    <w:p w14:paraId="667CB6E7">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（一）师资队伍</w:t>
      </w:r>
    </w:p>
    <w:p w14:paraId="7D004FF6">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b/>
          <w:szCs w:val="32"/>
        </w:rPr>
      </w:pPr>
      <w:r>
        <w:rPr>
          <w:rFonts w:hint="eastAsia" w:ascii="宋体" w:hAnsi="宋体" w:eastAsia="宋体" w:cs="宋体"/>
        </w:rPr>
        <w:t>学生数与本专业教师数比例不高于25:1，双师素质教师占专业教师比例一般不低于60%，专任教师队伍要考虑职称、年龄，形成合力的梯队结构。</w:t>
      </w:r>
    </w:p>
    <w:p w14:paraId="403E9482">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（二）教学设施</w:t>
      </w:r>
    </w:p>
    <w:p w14:paraId="7231C67D">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对教室，校内、校外实习实训基地等提出有关要求。</w:t>
      </w:r>
    </w:p>
    <w:p w14:paraId="370BC238">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专业教室基本条件</w:t>
      </w:r>
    </w:p>
    <w:p w14:paraId="4F7353A7">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专业教室配备黑（白）板、多媒体计算机、投影设备、音响设备、互联网接入或Wi-Fi环境，并实施网络安全防护措施；安装应急照明装置并保持良好状态，符合紧急疏散要求，标志明显，保持逃生通道畅通无阻。</w:t>
      </w:r>
    </w:p>
    <w:p w14:paraId="74D4CD73">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校内实训室基本要求</w:t>
      </w:r>
    </w:p>
    <w:p w14:paraId="5FEF48C2">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电工电子实训室</w:t>
      </w:r>
    </w:p>
    <w:p w14:paraId="6ACC1003">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电工电子实训室应配备电工电子实验台、万用表、示波器等仪器设备，按照4-5人/台（套）配备，用于电工电子相关实验实训。</w:t>
      </w:r>
    </w:p>
    <w:p w14:paraId="76DE0B86">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汽车拆装实训室</w:t>
      </w:r>
    </w:p>
    <w:p w14:paraId="1B563C4C">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汽车拆装实训室应配备汽车及总成部件、拆装台架，专用拆装工具，汽车检测检测设备与仪器，按照4-5人/台（套）配备，用于汽车及总成部件的拆装实训。</w:t>
      </w:r>
    </w:p>
    <w:p w14:paraId="5C0F31C7">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发动机检测与维修实训室</w:t>
      </w:r>
    </w:p>
    <w:p w14:paraId="1282E694">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发动机检测与维修实训室应配备发动机实训台、万用表、示波器、专用拆装工具、测量器具、故障诊断仪等，按照4-5人/台（套）配备，用于发动机检测与维修实训。</w:t>
      </w:r>
    </w:p>
    <w:p w14:paraId="35DABCD7">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rPr>
        <w:t>汽车底盘检测与维修实训室</w:t>
      </w:r>
    </w:p>
    <w:p w14:paraId="075001F2">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汽车底盘检测与维修实训室应配备传动系统实训台、悬架系统实训台、转向系统实训台、制动系统实训台、专用拆装工具、测量器具、故障诊断仪等，按照4-5人/台（套）配备，用于汽车底盘各系统或总成的检测与维修实训。</w:t>
      </w:r>
    </w:p>
    <w:p w14:paraId="765FEA4E">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（5）汽车电气系统检测与维修实训室</w:t>
      </w:r>
    </w:p>
    <w:p w14:paraId="54B44DD9">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汽车电气系统检测与维修实训室应配备发电机、起动机等电气系统总成部件，整车电气系统实训台、照明系统实训台、空调系统实训台、安全气囊实训台、娱乐系统实训台等，以及万用表、故障诊断仪等仪器设备，按照4-5人/台（套）配备，用于汽车电气系统检测与维修实训。</w:t>
      </w:r>
    </w:p>
    <w:p w14:paraId="1E2BE661">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（6）汽车维护及综合故障诊断实训室</w:t>
      </w:r>
    </w:p>
    <w:p w14:paraId="385AE5BA">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汽车维护及综合故障诊断实训室应配备教学车辆、举升机、废气排放系统、拆装工具、诊断仪及专用工具等按照4-5人/台（套）配备，用于汽车维护及综合故障诊断实训。</w:t>
      </w:r>
    </w:p>
    <w:p w14:paraId="44913506">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校外实训基地基本要求</w:t>
      </w:r>
    </w:p>
    <w:p w14:paraId="49651BEA">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校外实训基地基本要求：具有稳定的校外实训基地；能够开展汽车质量与性能检测、汽车故障返修、汽车机电维修等实训活动，实训设施齐备，实训岗位，实训指导教师确定，实训管理及实施规章制度齐全。</w:t>
      </w:r>
    </w:p>
    <w:p w14:paraId="2015B169">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学生实习基地基本要求</w:t>
      </w:r>
    </w:p>
    <w:p w14:paraId="34D2B932">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校外实训基地基本要求：具有稳定的校外实训基地，能提供汽车质量检测、汽车故障返修、汽车机电维修、服务顾问等相关实习岗位，能涵盖当前相关产业发展的主流技术，可接纳一定规模的学生实习；能够配备相应数量的指导教师对学生实习进行指导和管理；有保证实习日常工作、学习、生活的规章制度，有安全、保险保障。</w:t>
      </w:r>
    </w:p>
    <w:p w14:paraId="6D512326">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支持信息化教学方面的基本要求</w:t>
      </w:r>
    </w:p>
    <w:p w14:paraId="3B32AD0C">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b/>
          <w:szCs w:val="32"/>
        </w:rPr>
      </w:pPr>
      <w:r>
        <w:rPr>
          <w:rFonts w:hint="eastAsia" w:ascii="宋体" w:hAnsi="宋体" w:eastAsia="宋体" w:cs="宋体"/>
        </w:rPr>
        <w:t>支持信息化教学方面的基本要求：具有可利用的数字化教学资源库、文献资料、常见问题解答等信息化条件；鼓励教师开发并利用信息化教学</w:t>
      </w:r>
      <w:bookmarkStart w:id="28" w:name="_GoBack"/>
      <w:bookmarkEnd w:id="28"/>
      <w:r>
        <w:rPr>
          <w:rFonts w:hint="eastAsia" w:ascii="宋体" w:hAnsi="宋体" w:eastAsia="宋体" w:cs="宋体"/>
        </w:rPr>
        <w:t>资源、教学平台、创新教学方法，引导学生利用信息化教学条件自主学习、提升教学效果。</w:t>
      </w:r>
    </w:p>
    <w:p w14:paraId="1E4996C5">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（三）教学资源</w:t>
      </w:r>
    </w:p>
    <w:p w14:paraId="717BFD0D">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对教材选用、图书文献配备、数字资源配备等提出有关要求。</w:t>
      </w:r>
    </w:p>
    <w:p w14:paraId="2DB862AB">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1.教材选用基本要求</w:t>
      </w:r>
    </w:p>
    <w:p w14:paraId="5D1BE77C">
      <w:pPr>
        <w:keepNext w:val="0"/>
        <w:keepLines w:val="0"/>
        <w:pageBreakBefore w:val="0"/>
        <w:widowControl w:val="0"/>
        <w:kinsoku/>
        <w:wordWrap/>
        <w:topLinePunct w:val="0"/>
        <w:autoSpaceDE/>
        <w:autoSpaceDN/>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按照国家规定选用优质教材，禁止不合格的教材进入课堂。学校应建立专业教师、行业专家和教研人员等参与的教材选用机构，完善教材选用制度，经过规范程序择优选用教材。</w:t>
      </w:r>
      <w:r>
        <w:rPr>
          <w:rFonts w:hint="eastAsia" w:ascii="宋体" w:hAnsi="宋体" w:eastAsia="宋体" w:cs="宋体"/>
          <w:bCs/>
          <w:szCs w:val="21"/>
        </w:rPr>
        <w:t>同时，学校可适当开发针对性强的校本教学资源，充分体现任务引领、实践导向的课程设计思想。教材以完成任务的典型活动项目来驱动,采用递进和并列相结合的方式来组织编写,使学生在各种活动中学会实际操作。活动设计要具有可操作性,应避免把职业能力简单理解为纯粹的技能操作。</w:t>
      </w:r>
    </w:p>
    <w:p w14:paraId="17A82B96">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图书文献配备基本要求</w:t>
      </w:r>
    </w:p>
    <w:p w14:paraId="652B8E78">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图书文献配备是满足人才培养、专业建设、教科研等工作的需要，方便师生查询、借阅。专业类图书文献主要包括：汽车制造行业政策法规、行业标准、技术规范以及主流汽车品牌相应车型的维修手册、电气与电子工艺手册等；汽车检测与维修专业技术图书和实务案列类图书；5种以上汽车检测与维修专业学术期刊等。</w:t>
      </w:r>
    </w:p>
    <w:p w14:paraId="6C865CD3">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数字教学资源配备基本要求</w:t>
      </w:r>
    </w:p>
    <w:p w14:paraId="44BAAEC6">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b/>
          <w:szCs w:val="32"/>
        </w:rPr>
      </w:pPr>
      <w:r>
        <w:rPr>
          <w:rFonts w:hint="eastAsia" w:ascii="宋体" w:hAnsi="宋体" w:eastAsia="宋体" w:cs="宋体"/>
        </w:rPr>
        <w:t>建设、配备与本专业有关的音视频素材、教学课件、数字化教学案例库、虚拟仿真软件、数字教材等专业教学资源库，应种类丰富、形式多样、使用便捷、动态更新，能满足教学要求。</w:t>
      </w:r>
    </w:p>
    <w:p w14:paraId="65109D6D">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（四）教学方法</w:t>
      </w:r>
    </w:p>
    <w:p w14:paraId="3EB54ACF">
      <w:pPr>
        <w:keepNext w:val="0"/>
        <w:keepLines w:val="0"/>
        <w:pageBreakBefore w:val="0"/>
        <w:widowControl w:val="0"/>
        <w:kinsoku/>
        <w:wordWrap/>
        <w:overflowPunct w:val="0"/>
        <w:topLinePunct w:val="0"/>
        <w:autoSpaceDE/>
        <w:autoSpaceDN/>
        <w:bidi w:val="0"/>
        <w:adjustRightInd w:val="0"/>
        <w:spacing w:line="400" w:lineRule="exact"/>
        <w:ind w:firstLine="420" w:firstLineChars="200"/>
        <w:textAlignment w:val="auto"/>
        <w:rPr>
          <w:rFonts w:hint="eastAsia" w:ascii="宋体" w:hAnsi="宋体" w:eastAsia="宋体" w:cs="宋体"/>
          <w:b/>
          <w:szCs w:val="32"/>
        </w:rPr>
      </w:pPr>
      <w:r>
        <w:rPr>
          <w:rFonts w:hint="eastAsia" w:ascii="宋体" w:hAnsi="宋体" w:eastAsia="宋体" w:cs="宋体"/>
        </w:rPr>
        <w:t>鼓励教师开展启发式、体验式、讨论式、参与式、研究式教学；鼓励教师开发和利用学校云平台及其他慕课、微课、翻转课堂等教学资源；鼓励运用现代信息技术，为学生自主学习提供丰富多样的教育资源；改革考试考核内容和方式，注重考查学生运用知识分析、解决汽车检测与维修技术专业问题的能力。</w:t>
      </w:r>
    </w:p>
    <w:p w14:paraId="43D13BE6">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（五）学习评价</w:t>
      </w:r>
    </w:p>
    <w:p w14:paraId="5A842F6D">
      <w:pPr>
        <w:pStyle w:val="18"/>
        <w:keepNext w:val="0"/>
        <w:keepLines w:val="0"/>
        <w:pageBreakBefore w:val="0"/>
        <w:widowControl w:val="0"/>
        <w:kinsoku/>
        <w:wordWrap/>
        <w:topLinePunct w:val="0"/>
        <w:autoSpaceDE/>
        <w:autoSpaceDN/>
        <w:bidi w:val="0"/>
        <w:spacing w:before="0" w:after="0" w:line="400" w:lineRule="exact"/>
        <w:ind w:firstLine="420"/>
        <w:textAlignment w:val="auto"/>
        <w:rPr>
          <w:rFonts w:hint="eastAsia"/>
          <w:highlight w:val="none"/>
        </w:rPr>
      </w:pPr>
      <w:r>
        <w:rPr>
          <w:rFonts w:hint="eastAsia"/>
          <w:highlight w:val="none"/>
        </w:rPr>
        <w:t>评价手段和形式要多样化，应以过程评价为主，可以以考试、实践操作等方式，也可以采用课堂考评、作业分析等形式对学生进行评价。</w:t>
      </w:r>
    </w:p>
    <w:p w14:paraId="489E68A9">
      <w:pPr>
        <w:keepNext w:val="0"/>
        <w:keepLines w:val="0"/>
        <w:pageBreakBefore w:val="0"/>
        <w:widowControl w:val="0"/>
        <w:kinsoku/>
        <w:wordWrap/>
        <w:overflowPunct w:val="0"/>
        <w:topLinePunct w:val="0"/>
        <w:autoSpaceDE/>
        <w:autoSpaceDN/>
        <w:bidi w:val="0"/>
        <w:adjustRightInd w:val="0"/>
        <w:snapToGrid/>
        <w:spacing w:line="400" w:lineRule="exact"/>
        <w:ind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（六）质量管理</w:t>
      </w:r>
    </w:p>
    <w:p w14:paraId="7E736E2D">
      <w:pPr>
        <w:pStyle w:val="18"/>
        <w:keepNext w:val="0"/>
        <w:keepLines w:val="0"/>
        <w:pageBreakBefore w:val="0"/>
        <w:widowControl w:val="0"/>
        <w:kinsoku/>
        <w:wordWrap/>
        <w:topLinePunct w:val="0"/>
        <w:autoSpaceDE/>
        <w:autoSpaceDN/>
        <w:bidi w:val="0"/>
        <w:spacing w:before="0" w:after="0" w:line="400" w:lineRule="exact"/>
        <w:ind w:firstLine="420"/>
        <w:textAlignment w:val="auto"/>
        <w:rPr>
          <w:rFonts w:hint="eastAsia"/>
          <w:highlight w:val="none"/>
        </w:rPr>
      </w:pPr>
      <w:r>
        <w:rPr>
          <w:rFonts w:hint="eastAsia"/>
          <w:highlight w:val="none"/>
        </w:rPr>
        <w:t>本专业严格执行学校相关的规章制度：制定有专业教学标准、人才培养方案、课程教学大纲、教学日历、课程表，并得到有效执行；学期工作有总结；认真执行学校学籍成绩考核管理、实验实训室管理、教学档案管理等工作制度；执行好教师工作量化考核等相关教师和教学管理人员管理制度；执行好课堂管理、课外活动管理等学生管理制度。</w:t>
      </w:r>
    </w:p>
    <w:p w14:paraId="32807644">
      <w:pPr>
        <w:pStyle w:val="18"/>
        <w:keepNext w:val="0"/>
        <w:keepLines w:val="0"/>
        <w:pageBreakBefore w:val="0"/>
        <w:widowControl w:val="0"/>
        <w:kinsoku/>
        <w:wordWrap/>
        <w:topLinePunct w:val="0"/>
        <w:autoSpaceDE/>
        <w:autoSpaceDN/>
        <w:bidi w:val="0"/>
        <w:spacing w:before="0" w:after="0" w:line="400" w:lineRule="exact"/>
        <w:ind w:firstLine="420"/>
        <w:textAlignment w:val="auto"/>
        <w:rPr>
          <w:rFonts w:hint="eastAsia"/>
          <w:highlight w:val="none"/>
          <w:lang w:val="en-US" w:eastAsia="zh-CN"/>
        </w:rPr>
      </w:pPr>
      <w:r>
        <w:rPr>
          <w:rFonts w:hint="eastAsia"/>
          <w:highlight w:val="none"/>
        </w:rPr>
        <w:t>建设和完善督导机制、评管机制、反馈机制、奖惩机制、评学机制、评教机制等，以保障质量的持续改进和提高。</w:t>
      </w:r>
    </w:p>
    <w:p w14:paraId="18115365">
      <w:pPr>
        <w:keepNext w:val="0"/>
        <w:keepLines w:val="0"/>
        <w:pageBreakBefore w:val="0"/>
        <w:widowControl w:val="0"/>
        <w:kinsoku/>
        <w:wordWrap/>
        <w:topLinePunct w:val="0"/>
        <w:autoSpaceDE/>
        <w:autoSpaceDN/>
        <w:bidi w:val="0"/>
        <w:adjustRightInd w:val="0"/>
        <w:snapToGrid w:val="0"/>
        <w:spacing w:line="400" w:lineRule="exact"/>
        <w:ind w:firstLine="480" w:firstLineChars="200"/>
        <w:textAlignment w:val="auto"/>
        <w:rPr>
          <w:rFonts w:ascii="黑体" w:hAnsi="黑体" w:eastAsia="黑体" w:cs="黑体"/>
          <w:bCs/>
          <w:sz w:val="24"/>
        </w:rPr>
      </w:pPr>
      <w:r>
        <w:rPr>
          <w:rFonts w:hint="eastAsia" w:ascii="黑体" w:hAnsi="黑体" w:eastAsia="黑体" w:cs="黑体"/>
          <w:bCs/>
          <w:sz w:val="24"/>
          <w:lang w:val="en-US" w:eastAsia="zh-CN"/>
        </w:rPr>
        <w:t>九</w:t>
      </w:r>
      <w:r>
        <w:rPr>
          <w:rFonts w:hint="eastAsia" w:ascii="黑体" w:hAnsi="黑体" w:eastAsia="黑体" w:cs="黑体"/>
          <w:bCs/>
          <w:sz w:val="24"/>
        </w:rPr>
        <w:t>、毕业要求</w:t>
      </w:r>
    </w:p>
    <w:p w14:paraId="68BE3E06">
      <w:pPr>
        <w:pStyle w:val="18"/>
        <w:keepNext w:val="0"/>
        <w:keepLines w:val="0"/>
        <w:pageBreakBefore w:val="0"/>
        <w:widowControl w:val="0"/>
        <w:kinsoku/>
        <w:wordWrap/>
        <w:topLinePunct w:val="0"/>
        <w:autoSpaceDE/>
        <w:autoSpaceDN/>
        <w:bidi w:val="0"/>
        <w:spacing w:before="0" w:after="0" w:line="400" w:lineRule="exact"/>
        <w:ind w:firstLine="420"/>
        <w:textAlignment w:val="auto"/>
        <w:rPr>
          <w:highlight w:val="none"/>
        </w:rPr>
      </w:pPr>
      <w:r>
        <w:rPr>
          <w:rFonts w:hint="eastAsia"/>
          <w:highlight w:val="none"/>
        </w:rPr>
        <w:t>1.德育审核合格；</w:t>
      </w:r>
    </w:p>
    <w:p w14:paraId="64268303">
      <w:pPr>
        <w:pStyle w:val="18"/>
        <w:keepNext w:val="0"/>
        <w:keepLines w:val="0"/>
        <w:pageBreakBefore w:val="0"/>
        <w:widowControl w:val="0"/>
        <w:kinsoku/>
        <w:wordWrap/>
        <w:topLinePunct w:val="0"/>
        <w:autoSpaceDE/>
        <w:autoSpaceDN/>
        <w:bidi w:val="0"/>
        <w:spacing w:before="0" w:after="0" w:line="400" w:lineRule="exact"/>
        <w:ind w:firstLine="420"/>
        <w:textAlignment w:val="auto"/>
        <w:rPr>
          <w:rFonts w:hint="eastAsia" w:eastAsiaTheme="minorEastAsia"/>
          <w:highlight w:val="none"/>
          <w:lang w:eastAsia="zh-CN"/>
        </w:rPr>
      </w:pPr>
      <w:r>
        <w:rPr>
          <w:rFonts w:hint="eastAsia"/>
          <w:highlight w:val="none"/>
        </w:rPr>
        <w:t>2.《国家学生体制健康标准》达标</w:t>
      </w:r>
      <w:r>
        <w:rPr>
          <w:rFonts w:hint="eastAsia"/>
          <w:highlight w:val="none"/>
          <w:lang w:eastAsia="zh-CN"/>
        </w:rPr>
        <w:t>；</w:t>
      </w:r>
    </w:p>
    <w:p w14:paraId="261FC8E4">
      <w:pPr>
        <w:pStyle w:val="18"/>
        <w:keepNext w:val="0"/>
        <w:keepLines w:val="0"/>
        <w:pageBreakBefore w:val="0"/>
        <w:widowControl w:val="0"/>
        <w:kinsoku/>
        <w:wordWrap/>
        <w:topLinePunct w:val="0"/>
        <w:autoSpaceDE/>
        <w:autoSpaceDN/>
        <w:bidi w:val="0"/>
        <w:spacing w:before="0" w:after="0" w:line="400" w:lineRule="exact"/>
        <w:ind w:firstLine="420"/>
        <w:textAlignment w:val="auto"/>
        <w:rPr>
          <w:rFonts w:hint="eastAsia" w:eastAsia="宋体"/>
          <w:highlight w:val="none"/>
          <w:lang w:eastAsia="zh-CN"/>
        </w:rPr>
      </w:pPr>
      <w:r>
        <w:rPr>
          <w:rFonts w:hint="eastAsia"/>
          <w:highlight w:val="none"/>
        </w:rPr>
        <w:t>3.本专业必须修满规定的</w:t>
      </w:r>
      <w:r>
        <w:rPr>
          <w:rFonts w:ascii="Times New Roman" w:hAnsi="Times New Roman" w:eastAsia="宋体" w:cs="Times New Roman"/>
        </w:rPr>
        <w:t>1</w:t>
      </w:r>
      <w:r>
        <w:rPr>
          <w:rFonts w:hint="eastAsia" w:ascii="Times New Roman" w:hAnsi="Times New Roman" w:eastAsia="宋体" w:cs="Times New Roman"/>
          <w:lang w:val="en-US" w:eastAsia="zh-CN"/>
        </w:rPr>
        <w:t>25.5</w:t>
      </w:r>
      <w:r>
        <w:rPr>
          <w:rFonts w:ascii="Times New Roman" w:hAnsi="Times New Roman" w:eastAsia="宋体" w:cs="Times New Roman"/>
        </w:rPr>
        <w:t>学分（其中必修课程1</w:t>
      </w:r>
      <w:r>
        <w:rPr>
          <w:rFonts w:hint="eastAsia" w:ascii="Times New Roman" w:hAnsi="Times New Roman" w:eastAsia="宋体" w:cs="Times New Roman"/>
          <w:lang w:val="en-US" w:eastAsia="zh-CN"/>
        </w:rPr>
        <w:t>06.5</w:t>
      </w:r>
      <w:r>
        <w:rPr>
          <w:rFonts w:ascii="Times New Roman" w:hAnsi="Times New Roman" w:eastAsia="宋体" w:cs="Times New Roman"/>
        </w:rPr>
        <w:t>学分，选修课程1</w:t>
      </w:r>
      <w:r>
        <w:rPr>
          <w:rFonts w:hint="eastAsia" w:ascii="Times New Roman" w:hAnsi="Times New Roman" w:eastAsia="宋体" w:cs="Times New Roman"/>
          <w:lang w:val="en-US" w:eastAsia="zh-CN"/>
        </w:rPr>
        <w:t>9</w:t>
      </w:r>
      <w:r>
        <w:rPr>
          <w:rFonts w:ascii="Times New Roman" w:hAnsi="Times New Roman" w:eastAsia="宋体" w:cs="Times New Roman"/>
        </w:rPr>
        <w:t>学分）</w:t>
      </w:r>
      <w:r>
        <w:rPr>
          <w:rFonts w:hint="eastAsia" w:ascii="Times New Roman" w:hAnsi="Times New Roman" w:eastAsia="宋体" w:cs="Times New Roman"/>
          <w:lang w:eastAsia="zh-CN"/>
        </w:rPr>
        <w:t>；</w:t>
      </w:r>
    </w:p>
    <w:p w14:paraId="3B90AA3E">
      <w:pPr>
        <w:pStyle w:val="18"/>
        <w:keepNext w:val="0"/>
        <w:keepLines w:val="0"/>
        <w:pageBreakBefore w:val="0"/>
        <w:widowControl w:val="0"/>
        <w:kinsoku/>
        <w:wordWrap/>
        <w:topLinePunct w:val="0"/>
        <w:autoSpaceDE/>
        <w:autoSpaceDN/>
        <w:bidi w:val="0"/>
        <w:spacing w:before="0" w:after="0" w:line="400" w:lineRule="exact"/>
        <w:ind w:firstLine="420"/>
        <w:textAlignment w:val="auto"/>
        <w:rPr>
          <w:rFonts w:hint="eastAsia"/>
          <w:highlight w:val="none"/>
          <w:lang w:eastAsia="zh-CN"/>
        </w:rPr>
      </w:pPr>
      <w:r>
        <w:rPr>
          <w:rFonts w:hint="eastAsia"/>
          <w:highlight w:val="none"/>
        </w:rPr>
        <w:t>4.完成素质拓展最低学分要求（8学分）</w:t>
      </w:r>
      <w:r>
        <w:rPr>
          <w:rFonts w:hint="eastAsia"/>
          <w:highlight w:val="none"/>
          <w:lang w:eastAsia="zh-CN"/>
        </w:rPr>
        <w:t>。</w:t>
      </w:r>
    </w:p>
    <w:p w14:paraId="7E4E73C6">
      <w:pPr>
        <w:adjustRightInd w:val="0"/>
        <w:snapToGrid w:val="0"/>
        <w:spacing w:line="400" w:lineRule="exact"/>
        <w:ind w:firstLine="480" w:firstLineChars="200"/>
        <w:rPr>
          <w:rFonts w:hint="eastAsia" w:ascii="黑体" w:hAnsi="黑体" w:eastAsia="黑体" w:cs="黑体"/>
          <w:bCs/>
          <w:sz w:val="24"/>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F4C0E61">
      <w:pPr>
        <w:adjustRightInd w:val="0"/>
        <w:snapToGrid w:val="0"/>
        <w:spacing w:line="400" w:lineRule="exact"/>
        <w:ind w:firstLine="480" w:firstLineChars="200"/>
        <w:rPr>
          <w:rFonts w:hint="eastAsia" w:ascii="黑体" w:hAnsi="黑体" w:eastAsia="黑体" w:cs="黑体"/>
          <w:bCs/>
          <w:sz w:val="24"/>
          <w:szCs w:val="24"/>
          <w:lang w:val="en-US" w:eastAsia="zh-CN"/>
        </w:rPr>
      </w:pPr>
      <w:r>
        <w:rPr>
          <w:rFonts w:hint="eastAsia" w:ascii="黑体" w:hAnsi="黑体" w:eastAsia="黑体" w:cs="黑体"/>
          <w:bCs/>
          <w:sz w:val="24"/>
          <w:szCs w:val="24"/>
          <w:lang w:val="en-US" w:eastAsia="zh-CN"/>
        </w:rPr>
        <w:t>十、附录</w:t>
      </w:r>
    </w:p>
    <w:p w14:paraId="23E877CB">
      <w:pPr>
        <w:spacing w:line="400" w:lineRule="exact"/>
        <w:jc w:val="center"/>
        <w:rPr>
          <w:rFonts w:hint="eastAsia" w:ascii="宋体" w:hAnsi="宋体" w:cs="宋体"/>
          <w:b/>
          <w:bCs/>
          <w:spacing w:val="20"/>
          <w:sz w:val="36"/>
          <w:szCs w:val="36"/>
        </w:rPr>
      </w:pPr>
    </w:p>
    <w:p w14:paraId="40096A86">
      <w:pPr>
        <w:spacing w:line="400" w:lineRule="exact"/>
        <w:jc w:val="center"/>
        <w:rPr>
          <w:rFonts w:hint="eastAsia" w:ascii="方正小标宋简体" w:hAnsi="方正小标宋简体" w:eastAsia="方正小标宋简体" w:cs="方正小标宋简体"/>
          <w:b w:val="0"/>
          <w:bCs w:val="0"/>
          <w:spacing w:val="20"/>
          <w:sz w:val="36"/>
          <w:szCs w:val="36"/>
        </w:rPr>
      </w:pPr>
      <w:r>
        <w:rPr>
          <w:rFonts w:hint="eastAsia" w:ascii="方正小标宋简体" w:hAnsi="方正小标宋简体" w:eastAsia="方正小标宋简体" w:cs="方正小标宋简体"/>
          <w:b w:val="0"/>
          <w:bCs w:val="0"/>
          <w:spacing w:val="20"/>
          <w:sz w:val="36"/>
          <w:szCs w:val="36"/>
        </w:rPr>
        <w:t>黄河交通学院人才培养方案调整申请表</w:t>
      </w:r>
    </w:p>
    <w:p w14:paraId="23AD834D">
      <w:pPr>
        <w:ind w:left="-540" w:leftChars="-257" w:firstLine="720" w:firstLineChars="300"/>
        <w:jc w:val="left"/>
        <w:rPr>
          <w:rFonts w:hint="eastAsia" w:eastAsia="黑体"/>
          <w:b w:val="0"/>
          <w:bCs w:val="0"/>
          <w:sz w:val="24"/>
          <w:szCs w:val="24"/>
          <w:lang w:val="en-US" w:eastAsia="zh-CN"/>
        </w:rPr>
      </w:pPr>
    </w:p>
    <w:p w14:paraId="185B77A6">
      <w:pPr>
        <w:ind w:left="-540" w:leftChars="-257" w:firstLine="720" w:firstLineChars="300"/>
        <w:jc w:val="left"/>
        <w:rPr>
          <w:rFonts w:hint="eastAsia" w:eastAsia="黑体"/>
          <w:b/>
          <w:bCs/>
          <w:sz w:val="28"/>
        </w:rPr>
      </w:pPr>
      <w:r>
        <w:rPr>
          <w:rFonts w:hint="eastAsia" w:eastAsia="黑体"/>
          <w:b w:val="0"/>
          <w:bCs w:val="0"/>
          <w:sz w:val="24"/>
          <w:szCs w:val="24"/>
          <w:lang w:val="en-US" w:eastAsia="zh-CN"/>
        </w:rPr>
        <w:t>学院</w:t>
      </w:r>
      <w:r>
        <w:rPr>
          <w:rFonts w:hint="eastAsia" w:eastAsia="黑体"/>
          <w:b w:val="0"/>
          <w:bCs w:val="0"/>
          <w:sz w:val="24"/>
          <w:szCs w:val="24"/>
        </w:rPr>
        <w:t>：</w:t>
      </w:r>
      <w:r>
        <w:rPr>
          <w:rFonts w:ascii="黑体" w:eastAsia="黑体"/>
          <w:b w:val="0"/>
          <w:bCs w:val="0"/>
          <w:sz w:val="24"/>
          <w:szCs w:val="30"/>
          <w:u w:val="single"/>
        </w:rPr>
        <w:t xml:space="preserve">      </w:t>
      </w:r>
      <w:r>
        <w:rPr>
          <w:rFonts w:hint="eastAsia" w:ascii="黑体" w:eastAsia="黑体"/>
          <w:b w:val="0"/>
          <w:bCs w:val="0"/>
          <w:sz w:val="24"/>
          <w:szCs w:val="30"/>
          <w:u w:val="single"/>
        </w:rPr>
        <w:t xml:space="preserve">          </w:t>
      </w:r>
      <w:r>
        <w:rPr>
          <w:rFonts w:hint="eastAsia" w:ascii="黑体" w:eastAsia="黑体"/>
          <w:b w:val="0"/>
          <w:bCs w:val="0"/>
          <w:sz w:val="24"/>
          <w:szCs w:val="30"/>
        </w:rPr>
        <w:t xml:space="preserve"> 学年学期： </w:t>
      </w:r>
      <w:r>
        <w:rPr>
          <w:rFonts w:hint="eastAsia" w:ascii="黑体" w:eastAsia="黑体"/>
          <w:b w:val="0"/>
          <w:bCs w:val="0"/>
          <w:sz w:val="24"/>
          <w:szCs w:val="30"/>
          <w:u w:val="single"/>
        </w:rPr>
        <w:t xml:space="preserve">               </w:t>
      </w:r>
      <w:r>
        <w:rPr>
          <w:rFonts w:hint="eastAsia" w:ascii="黑体" w:eastAsia="黑体"/>
          <w:b w:val="0"/>
          <w:bCs w:val="0"/>
          <w:sz w:val="24"/>
          <w:szCs w:val="30"/>
        </w:rPr>
        <w:t xml:space="preserve"> 编号： </w:t>
      </w:r>
      <w:r>
        <w:rPr>
          <w:rFonts w:hint="eastAsia" w:ascii="黑体" w:eastAsia="黑体"/>
          <w:b w:val="0"/>
          <w:bCs w:val="0"/>
          <w:sz w:val="24"/>
          <w:szCs w:val="30"/>
          <w:u w:val="single"/>
        </w:rPr>
        <w:t xml:space="preserve">           </w:t>
      </w:r>
      <w:r>
        <w:rPr>
          <w:rFonts w:hint="eastAsia" w:ascii="黑体" w:eastAsia="黑体"/>
          <w:b/>
          <w:sz w:val="24"/>
          <w:szCs w:val="30"/>
          <w:u w:val="single"/>
        </w:rPr>
        <w:t xml:space="preserve">  </w:t>
      </w:r>
      <w:r>
        <w:rPr>
          <w:rFonts w:hint="eastAsia" w:ascii="黑体" w:eastAsia="黑体"/>
          <w:b/>
          <w:sz w:val="24"/>
          <w:szCs w:val="30"/>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1899"/>
        <w:gridCol w:w="900"/>
        <w:gridCol w:w="1080"/>
        <w:gridCol w:w="837"/>
        <w:gridCol w:w="783"/>
        <w:gridCol w:w="540"/>
        <w:gridCol w:w="2160"/>
      </w:tblGrid>
      <w:tr w14:paraId="622C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noWrap w:val="0"/>
            <w:vAlign w:val="center"/>
          </w:tcPr>
          <w:p w14:paraId="16BA5BD7">
            <w:pPr>
              <w:spacing w:line="400" w:lineRule="exact"/>
              <w:rPr>
                <w:rFonts w:hint="eastAsia" w:ascii="仿宋" w:hAnsi="仿宋" w:eastAsia="仿宋" w:cs="仿宋"/>
                <w:sz w:val="21"/>
                <w:szCs w:val="21"/>
              </w:rPr>
            </w:pPr>
            <w:r>
              <w:rPr>
                <w:rFonts w:hint="eastAsia" w:ascii="仿宋" w:hAnsi="仿宋" w:eastAsia="仿宋" w:cs="仿宋"/>
                <w:b/>
                <w:bCs/>
                <w:sz w:val="21"/>
                <w:szCs w:val="21"/>
              </w:rPr>
              <w:t>课程名称</w:t>
            </w:r>
            <w:r>
              <w:rPr>
                <w:rFonts w:hint="eastAsia" w:ascii="仿宋" w:hAnsi="仿宋" w:eastAsia="仿宋" w:cs="仿宋"/>
                <w:sz w:val="21"/>
                <w:szCs w:val="21"/>
              </w:rPr>
              <w:t>：</w:t>
            </w:r>
          </w:p>
        </w:tc>
        <w:tc>
          <w:tcPr>
            <w:tcW w:w="3483" w:type="dxa"/>
            <w:gridSpan w:val="3"/>
            <w:tcBorders>
              <w:top w:val="single" w:color="auto" w:sz="4" w:space="0"/>
              <w:left w:val="single" w:color="auto" w:sz="4" w:space="0"/>
              <w:bottom w:val="single" w:color="auto" w:sz="4" w:space="0"/>
              <w:right w:val="single" w:color="auto" w:sz="4" w:space="0"/>
            </w:tcBorders>
            <w:noWrap w:val="0"/>
            <w:vAlign w:val="center"/>
          </w:tcPr>
          <w:p w14:paraId="19563F2E">
            <w:pPr>
              <w:spacing w:line="400" w:lineRule="exact"/>
              <w:rPr>
                <w:rFonts w:hint="eastAsia" w:ascii="仿宋" w:hAnsi="仿宋" w:eastAsia="仿宋" w:cs="仿宋"/>
                <w:b/>
                <w:sz w:val="21"/>
                <w:szCs w:val="21"/>
              </w:rPr>
            </w:pPr>
            <w:r>
              <w:rPr>
                <w:rFonts w:hint="eastAsia" w:ascii="仿宋" w:hAnsi="仿宋" w:eastAsia="仿宋" w:cs="仿宋"/>
                <w:b/>
                <w:sz w:val="21"/>
                <w:szCs w:val="21"/>
              </w:rPr>
              <w:t>课程编号：</w:t>
            </w:r>
          </w:p>
        </w:tc>
      </w:tr>
      <w:tr w14:paraId="1BFC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noWrap w:val="0"/>
            <w:vAlign w:val="center"/>
          </w:tcPr>
          <w:p w14:paraId="2E812F57">
            <w:pPr>
              <w:spacing w:line="400" w:lineRule="exact"/>
              <w:rPr>
                <w:rFonts w:hint="eastAsia" w:ascii="仿宋" w:hAnsi="仿宋" w:eastAsia="仿宋" w:cs="仿宋"/>
                <w:sz w:val="21"/>
                <w:szCs w:val="21"/>
              </w:rPr>
            </w:pPr>
            <w:r>
              <w:rPr>
                <w:rFonts w:hint="eastAsia" w:ascii="仿宋" w:hAnsi="仿宋" w:eastAsia="仿宋" w:cs="仿宋"/>
                <w:b/>
                <w:bCs/>
                <w:sz w:val="21"/>
                <w:szCs w:val="21"/>
              </w:rPr>
              <w:t>授课对象</w:t>
            </w:r>
            <w:r>
              <w:rPr>
                <w:rFonts w:hint="eastAsia" w:ascii="仿宋" w:hAnsi="仿宋" w:eastAsia="仿宋" w:cs="仿宋"/>
                <w:sz w:val="21"/>
                <w:szCs w:val="21"/>
              </w:rPr>
              <w:t>：</w:t>
            </w:r>
          </w:p>
        </w:tc>
        <w:tc>
          <w:tcPr>
            <w:tcW w:w="3483" w:type="dxa"/>
            <w:gridSpan w:val="3"/>
            <w:tcBorders>
              <w:top w:val="single" w:color="auto" w:sz="4" w:space="0"/>
              <w:left w:val="single" w:color="auto" w:sz="4" w:space="0"/>
              <w:bottom w:val="single" w:color="auto" w:sz="4" w:space="0"/>
              <w:right w:val="single" w:color="auto" w:sz="4" w:space="0"/>
            </w:tcBorders>
            <w:noWrap w:val="0"/>
            <w:vAlign w:val="center"/>
          </w:tcPr>
          <w:p w14:paraId="3093AC78">
            <w:pPr>
              <w:spacing w:line="400" w:lineRule="exact"/>
              <w:rPr>
                <w:rFonts w:hint="eastAsia" w:ascii="仿宋" w:hAnsi="仿宋" w:eastAsia="仿宋" w:cs="仿宋"/>
                <w:b/>
                <w:bCs/>
                <w:sz w:val="21"/>
                <w:szCs w:val="21"/>
              </w:rPr>
            </w:pPr>
            <w:r>
              <w:rPr>
                <w:rFonts w:hint="eastAsia" w:ascii="仿宋" w:hAnsi="仿宋" w:eastAsia="仿宋" w:cs="仿宋"/>
                <w:b/>
                <w:bCs/>
                <w:sz w:val="21"/>
                <w:szCs w:val="21"/>
              </w:rPr>
              <w:t>所在院部：</w:t>
            </w:r>
          </w:p>
        </w:tc>
      </w:tr>
      <w:tr w14:paraId="5C09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748" w:type="dxa"/>
            <w:gridSpan w:val="8"/>
            <w:tcBorders>
              <w:top w:val="single" w:color="auto" w:sz="4" w:space="0"/>
              <w:left w:val="single" w:color="auto" w:sz="4" w:space="0"/>
              <w:bottom w:val="single" w:color="auto" w:sz="4" w:space="0"/>
              <w:right w:val="single" w:color="auto" w:sz="4" w:space="0"/>
            </w:tcBorders>
            <w:noWrap w:val="0"/>
            <w:vAlign w:val="center"/>
          </w:tcPr>
          <w:p w14:paraId="7ABA42A4">
            <w:pPr>
              <w:spacing w:line="400" w:lineRule="exact"/>
              <w:rPr>
                <w:rFonts w:hint="eastAsia" w:ascii="仿宋" w:hAnsi="仿宋" w:eastAsia="仿宋" w:cs="仿宋"/>
                <w:b/>
                <w:bCs/>
                <w:sz w:val="21"/>
                <w:szCs w:val="21"/>
                <w:bdr w:val="single" w:color="auto" w:sz="4" w:space="0"/>
              </w:rPr>
            </w:pPr>
            <w:r>
              <w:rPr>
                <w:rFonts w:hint="eastAsia" w:ascii="仿宋" w:hAnsi="仿宋" w:eastAsia="仿宋" w:cs="仿宋"/>
                <w:b/>
                <w:bCs/>
                <w:sz w:val="21"/>
                <w:szCs w:val="21"/>
              </w:rPr>
              <w:t xml:space="preserve">课程性质：  </w:t>
            </w:r>
            <w:r>
              <w:rPr>
                <w:rFonts w:hint="eastAsia" w:ascii="仿宋" w:hAnsi="仿宋" w:eastAsia="仿宋" w:cs="仿宋"/>
                <w:sz w:val="21"/>
                <w:szCs w:val="21"/>
              </w:rPr>
              <w:sym w:font="Wingdings 2" w:char="00A3"/>
            </w:r>
            <w:r>
              <w:rPr>
                <w:rFonts w:hint="eastAsia" w:ascii="仿宋" w:hAnsi="仿宋" w:eastAsia="仿宋" w:cs="仿宋"/>
                <w:sz w:val="21"/>
                <w:szCs w:val="21"/>
              </w:rPr>
              <w:t xml:space="preserve">公共必修课   </w:t>
            </w:r>
            <w:r>
              <w:rPr>
                <w:rFonts w:hint="eastAsia" w:ascii="仿宋" w:hAnsi="仿宋" w:eastAsia="仿宋" w:cs="仿宋"/>
                <w:sz w:val="21"/>
                <w:szCs w:val="21"/>
              </w:rPr>
              <w:sym w:font="Wingdings 2" w:char="00A3"/>
            </w:r>
            <w:r>
              <w:rPr>
                <w:rFonts w:hint="eastAsia" w:ascii="仿宋" w:hAnsi="仿宋" w:eastAsia="仿宋" w:cs="仿宋"/>
                <w:sz w:val="21"/>
                <w:szCs w:val="21"/>
              </w:rPr>
              <w:t xml:space="preserve">专业基础课    </w:t>
            </w:r>
            <w:r>
              <w:rPr>
                <w:rFonts w:hint="eastAsia" w:ascii="仿宋" w:hAnsi="仿宋" w:eastAsia="仿宋" w:cs="仿宋"/>
                <w:sz w:val="21"/>
                <w:szCs w:val="21"/>
              </w:rPr>
              <w:sym w:font="Wingdings 2" w:char="00A3"/>
            </w:r>
            <w:r>
              <w:rPr>
                <w:rFonts w:hint="eastAsia" w:ascii="仿宋" w:hAnsi="仿宋" w:eastAsia="仿宋" w:cs="仿宋"/>
                <w:sz w:val="21"/>
                <w:szCs w:val="21"/>
              </w:rPr>
              <w:t>专业课</w:t>
            </w:r>
          </w:p>
        </w:tc>
      </w:tr>
      <w:tr w14:paraId="683F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val="0"/>
            <w:vAlign w:val="center"/>
          </w:tcPr>
          <w:p w14:paraId="2D32E429">
            <w:pPr>
              <w:adjustRightInd w:val="0"/>
              <w:spacing w:line="200" w:lineRule="exact"/>
              <w:jc w:val="center"/>
              <w:rPr>
                <w:rFonts w:hint="eastAsia" w:ascii="仿宋" w:hAnsi="仿宋" w:eastAsia="仿宋" w:cs="仿宋"/>
                <w:b/>
                <w:bCs w:val="0"/>
                <w:color w:val="auto"/>
                <w:kern w:val="0"/>
                <w:sz w:val="18"/>
                <w:szCs w:val="18"/>
                <w:lang w:val="en-US" w:eastAsia="zh-CN" w:bidi="ar"/>
              </w:rPr>
            </w:pPr>
            <w:r>
              <w:rPr>
                <w:rFonts w:hint="eastAsia" w:ascii="仿宋" w:hAnsi="仿宋" w:eastAsia="仿宋" w:cs="仿宋"/>
                <w:b/>
                <w:bCs w:val="0"/>
                <w:color w:val="auto"/>
                <w:kern w:val="0"/>
                <w:sz w:val="18"/>
                <w:szCs w:val="18"/>
                <w:lang w:val="en-US" w:eastAsia="zh-CN" w:bidi="ar"/>
              </w:rPr>
              <w:t>原计划</w:t>
            </w:r>
          </w:p>
        </w:tc>
        <w:tc>
          <w:tcPr>
            <w:tcW w:w="1899" w:type="dxa"/>
            <w:tcBorders>
              <w:top w:val="single" w:color="auto" w:sz="4" w:space="0"/>
              <w:left w:val="single" w:color="auto" w:sz="4" w:space="0"/>
              <w:bottom w:val="single" w:color="auto" w:sz="4" w:space="0"/>
              <w:right w:val="single" w:color="auto" w:sz="4" w:space="0"/>
            </w:tcBorders>
            <w:noWrap w:val="0"/>
            <w:vAlign w:val="center"/>
          </w:tcPr>
          <w:p w14:paraId="1BA23AAE">
            <w:pPr>
              <w:spacing w:line="400" w:lineRule="exact"/>
              <w:ind w:left="6"/>
              <w:rPr>
                <w:rFonts w:hint="eastAsia" w:ascii="仿宋" w:hAnsi="仿宋" w:eastAsia="仿宋" w:cs="仿宋"/>
                <w:sz w:val="21"/>
                <w:szCs w:val="21"/>
              </w:rPr>
            </w:pPr>
            <w:r>
              <w:rPr>
                <w:rFonts w:hint="eastAsia" w:ascii="仿宋" w:hAnsi="仿宋" w:eastAsia="仿宋" w:cs="仿宋"/>
                <w:sz w:val="21"/>
                <w:szCs w:val="21"/>
              </w:rPr>
              <w:t>学分：</w:t>
            </w:r>
          </w:p>
        </w:tc>
        <w:tc>
          <w:tcPr>
            <w:tcW w:w="1980" w:type="dxa"/>
            <w:gridSpan w:val="2"/>
            <w:tcBorders>
              <w:top w:val="single" w:color="auto" w:sz="4" w:space="0"/>
              <w:left w:val="single" w:color="auto" w:sz="4" w:space="0"/>
              <w:bottom w:val="single" w:color="auto" w:sz="4" w:space="0"/>
              <w:right w:val="single" w:color="auto" w:sz="4" w:space="0"/>
            </w:tcBorders>
            <w:noWrap w:val="0"/>
            <w:vAlign w:val="center"/>
          </w:tcPr>
          <w:p w14:paraId="18A35B57">
            <w:pPr>
              <w:spacing w:line="400" w:lineRule="exact"/>
              <w:rPr>
                <w:rFonts w:hint="eastAsia" w:ascii="仿宋" w:hAnsi="仿宋" w:eastAsia="仿宋" w:cs="仿宋"/>
                <w:sz w:val="21"/>
                <w:szCs w:val="21"/>
              </w:rPr>
            </w:pPr>
            <w:r>
              <w:rPr>
                <w:rFonts w:hint="eastAsia" w:ascii="仿宋" w:hAnsi="仿宋" w:eastAsia="仿宋" w:cs="仿宋"/>
                <w:sz w:val="21"/>
                <w:szCs w:val="21"/>
              </w:rPr>
              <w:t>总学时：</w:t>
            </w:r>
          </w:p>
        </w:tc>
        <w:tc>
          <w:tcPr>
            <w:tcW w:w="2160" w:type="dxa"/>
            <w:gridSpan w:val="3"/>
            <w:tcBorders>
              <w:top w:val="single" w:color="auto" w:sz="4" w:space="0"/>
              <w:left w:val="single" w:color="auto" w:sz="4" w:space="0"/>
              <w:bottom w:val="single" w:color="auto" w:sz="4" w:space="0"/>
              <w:right w:val="single" w:color="auto" w:sz="4" w:space="0"/>
            </w:tcBorders>
            <w:noWrap w:val="0"/>
            <w:vAlign w:val="center"/>
          </w:tcPr>
          <w:p w14:paraId="082FC26A">
            <w:pPr>
              <w:spacing w:line="400" w:lineRule="exact"/>
              <w:rPr>
                <w:rFonts w:hint="eastAsia" w:ascii="仿宋" w:hAnsi="仿宋" w:eastAsia="仿宋" w:cs="仿宋"/>
                <w:sz w:val="21"/>
                <w:szCs w:val="21"/>
              </w:rPr>
            </w:pPr>
            <w:r>
              <w:rPr>
                <w:rFonts w:hint="eastAsia" w:ascii="仿宋" w:hAnsi="仿宋" w:eastAsia="仿宋" w:cs="仿宋"/>
                <w:sz w:val="21"/>
                <w:szCs w:val="21"/>
              </w:rPr>
              <w:t>讲课学时：</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2B8E112C">
            <w:pPr>
              <w:spacing w:line="400" w:lineRule="exact"/>
              <w:rPr>
                <w:rFonts w:hint="eastAsia" w:ascii="仿宋" w:hAnsi="仿宋" w:eastAsia="仿宋" w:cs="仿宋"/>
                <w:sz w:val="21"/>
                <w:szCs w:val="21"/>
              </w:rPr>
            </w:pPr>
            <w:r>
              <w:rPr>
                <w:rFonts w:hint="eastAsia" w:ascii="仿宋" w:hAnsi="仿宋" w:eastAsia="仿宋" w:cs="仿宋"/>
                <w:sz w:val="21"/>
                <w:szCs w:val="21"/>
              </w:rPr>
              <w:t>实验学时：</w:t>
            </w:r>
          </w:p>
        </w:tc>
      </w:tr>
      <w:tr w14:paraId="1308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0"/>
            <w:vAlign w:val="center"/>
          </w:tcPr>
          <w:p w14:paraId="389412D2">
            <w:pPr>
              <w:adjustRightInd w:val="0"/>
              <w:spacing w:line="200" w:lineRule="exact"/>
              <w:jc w:val="center"/>
              <w:rPr>
                <w:rFonts w:hint="eastAsia" w:ascii="仿宋" w:hAnsi="仿宋" w:eastAsia="仿宋" w:cs="仿宋"/>
                <w:b/>
                <w:bCs w:val="0"/>
                <w:color w:val="auto"/>
                <w:kern w:val="0"/>
                <w:sz w:val="18"/>
                <w:szCs w:val="18"/>
                <w:lang w:val="en-US" w:eastAsia="zh-CN" w:bidi="ar"/>
              </w:rPr>
            </w:pPr>
          </w:p>
        </w:tc>
        <w:tc>
          <w:tcPr>
            <w:tcW w:w="2799" w:type="dxa"/>
            <w:gridSpan w:val="2"/>
            <w:tcBorders>
              <w:top w:val="single" w:color="auto" w:sz="4" w:space="0"/>
              <w:left w:val="single" w:color="auto" w:sz="4" w:space="0"/>
              <w:bottom w:val="single" w:color="auto" w:sz="4" w:space="0"/>
              <w:right w:val="single" w:color="auto" w:sz="4" w:space="0"/>
            </w:tcBorders>
            <w:noWrap w:val="0"/>
            <w:vAlign w:val="center"/>
          </w:tcPr>
          <w:p w14:paraId="283F18BC">
            <w:pPr>
              <w:spacing w:line="400" w:lineRule="exact"/>
              <w:ind w:left="6"/>
              <w:rPr>
                <w:rFonts w:hint="eastAsia" w:ascii="仿宋" w:hAnsi="仿宋" w:eastAsia="仿宋" w:cs="仿宋"/>
                <w:sz w:val="21"/>
                <w:szCs w:val="21"/>
              </w:rPr>
            </w:pPr>
            <w:r>
              <w:rPr>
                <w:rFonts w:hint="eastAsia" w:ascii="仿宋" w:hAnsi="仿宋" w:eastAsia="仿宋" w:cs="仿宋"/>
                <w:sz w:val="21"/>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noWrap w:val="0"/>
            <w:vAlign w:val="center"/>
          </w:tcPr>
          <w:p w14:paraId="3E9689A9">
            <w:pPr>
              <w:spacing w:line="400" w:lineRule="exact"/>
              <w:rPr>
                <w:rFonts w:hint="eastAsia" w:ascii="仿宋" w:hAnsi="仿宋" w:eastAsia="仿宋" w:cs="仿宋"/>
                <w:sz w:val="21"/>
                <w:szCs w:val="21"/>
              </w:rPr>
            </w:pPr>
            <w:r>
              <w:rPr>
                <w:rFonts w:hint="eastAsia" w:ascii="仿宋" w:hAnsi="仿宋" w:eastAsia="仿宋" w:cs="仿宋"/>
                <w:sz w:val="21"/>
                <w:szCs w:val="21"/>
              </w:rPr>
              <w:t>开课单位：</w:t>
            </w:r>
          </w:p>
        </w:tc>
        <w:tc>
          <w:tcPr>
            <w:tcW w:w="2700" w:type="dxa"/>
            <w:gridSpan w:val="2"/>
            <w:tcBorders>
              <w:top w:val="single" w:color="auto" w:sz="4" w:space="0"/>
              <w:left w:val="single" w:color="auto" w:sz="4" w:space="0"/>
              <w:bottom w:val="single" w:color="auto" w:sz="4" w:space="0"/>
              <w:right w:val="single" w:color="auto" w:sz="4" w:space="0"/>
            </w:tcBorders>
            <w:noWrap w:val="0"/>
            <w:vAlign w:val="center"/>
          </w:tcPr>
          <w:p w14:paraId="54CF8781">
            <w:pPr>
              <w:spacing w:line="400" w:lineRule="exact"/>
              <w:rPr>
                <w:rFonts w:hint="eastAsia" w:ascii="仿宋" w:hAnsi="仿宋" w:eastAsia="仿宋" w:cs="仿宋"/>
                <w:sz w:val="21"/>
                <w:szCs w:val="21"/>
              </w:rPr>
            </w:pPr>
            <w:r>
              <w:rPr>
                <w:rFonts w:hint="eastAsia" w:ascii="仿宋" w:hAnsi="仿宋" w:eastAsia="仿宋" w:cs="仿宋"/>
                <w:sz w:val="21"/>
                <w:szCs w:val="21"/>
              </w:rPr>
              <w:t>课程性质：必修/选修</w:t>
            </w:r>
          </w:p>
        </w:tc>
      </w:tr>
      <w:tr w14:paraId="0DB5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val="0"/>
            <w:vAlign w:val="center"/>
          </w:tcPr>
          <w:p w14:paraId="2DDA8042">
            <w:pPr>
              <w:adjustRightInd w:val="0"/>
              <w:spacing w:line="200" w:lineRule="exact"/>
              <w:jc w:val="center"/>
              <w:rPr>
                <w:rFonts w:hint="eastAsia" w:ascii="仿宋" w:hAnsi="仿宋" w:eastAsia="仿宋" w:cs="仿宋"/>
                <w:b/>
                <w:bCs w:val="0"/>
                <w:color w:val="auto"/>
                <w:kern w:val="0"/>
                <w:sz w:val="18"/>
                <w:szCs w:val="18"/>
                <w:lang w:val="en-US" w:eastAsia="zh-CN" w:bidi="ar"/>
              </w:rPr>
            </w:pPr>
            <w:r>
              <w:rPr>
                <w:rFonts w:hint="eastAsia" w:ascii="仿宋" w:hAnsi="仿宋" w:eastAsia="仿宋" w:cs="仿宋"/>
                <w:b/>
                <w:bCs w:val="0"/>
                <w:color w:val="auto"/>
                <w:kern w:val="0"/>
                <w:sz w:val="18"/>
                <w:szCs w:val="18"/>
                <w:lang w:val="en-US" w:eastAsia="zh-CN" w:bidi="ar"/>
              </w:rPr>
              <w:t>调整后</w:t>
            </w:r>
          </w:p>
        </w:tc>
        <w:tc>
          <w:tcPr>
            <w:tcW w:w="1899" w:type="dxa"/>
            <w:tcBorders>
              <w:top w:val="single" w:color="auto" w:sz="4" w:space="0"/>
              <w:left w:val="single" w:color="auto" w:sz="4" w:space="0"/>
              <w:bottom w:val="single" w:color="auto" w:sz="4" w:space="0"/>
              <w:right w:val="single" w:color="auto" w:sz="4" w:space="0"/>
            </w:tcBorders>
            <w:noWrap w:val="0"/>
            <w:vAlign w:val="center"/>
          </w:tcPr>
          <w:p w14:paraId="69475EC8">
            <w:pPr>
              <w:spacing w:line="400" w:lineRule="exact"/>
              <w:rPr>
                <w:rFonts w:hint="eastAsia" w:ascii="仿宋" w:hAnsi="仿宋" w:eastAsia="仿宋" w:cs="仿宋"/>
                <w:sz w:val="21"/>
                <w:szCs w:val="21"/>
              </w:rPr>
            </w:pPr>
            <w:r>
              <w:rPr>
                <w:rFonts w:hint="eastAsia" w:ascii="仿宋" w:hAnsi="仿宋" w:eastAsia="仿宋" w:cs="仿宋"/>
                <w:sz w:val="21"/>
                <w:szCs w:val="21"/>
              </w:rPr>
              <w:t>学分：</w:t>
            </w:r>
          </w:p>
        </w:tc>
        <w:tc>
          <w:tcPr>
            <w:tcW w:w="1980" w:type="dxa"/>
            <w:gridSpan w:val="2"/>
            <w:tcBorders>
              <w:top w:val="single" w:color="auto" w:sz="4" w:space="0"/>
              <w:left w:val="single" w:color="auto" w:sz="4" w:space="0"/>
              <w:bottom w:val="single" w:color="auto" w:sz="4" w:space="0"/>
              <w:right w:val="single" w:color="auto" w:sz="4" w:space="0"/>
            </w:tcBorders>
            <w:noWrap w:val="0"/>
            <w:vAlign w:val="center"/>
          </w:tcPr>
          <w:p w14:paraId="448342FE">
            <w:pPr>
              <w:spacing w:line="400" w:lineRule="exact"/>
              <w:rPr>
                <w:rFonts w:hint="eastAsia" w:ascii="仿宋" w:hAnsi="仿宋" w:eastAsia="仿宋" w:cs="仿宋"/>
                <w:sz w:val="21"/>
                <w:szCs w:val="21"/>
              </w:rPr>
            </w:pPr>
            <w:r>
              <w:rPr>
                <w:rFonts w:hint="eastAsia" w:ascii="仿宋" w:hAnsi="仿宋" w:eastAsia="仿宋" w:cs="仿宋"/>
                <w:sz w:val="21"/>
                <w:szCs w:val="21"/>
              </w:rPr>
              <w:t>总学时：</w:t>
            </w:r>
          </w:p>
        </w:tc>
        <w:tc>
          <w:tcPr>
            <w:tcW w:w="2160" w:type="dxa"/>
            <w:gridSpan w:val="3"/>
            <w:tcBorders>
              <w:top w:val="single" w:color="auto" w:sz="4" w:space="0"/>
              <w:left w:val="single" w:color="auto" w:sz="4" w:space="0"/>
              <w:bottom w:val="single" w:color="auto" w:sz="4" w:space="0"/>
              <w:right w:val="single" w:color="auto" w:sz="4" w:space="0"/>
            </w:tcBorders>
            <w:noWrap w:val="0"/>
            <w:vAlign w:val="center"/>
          </w:tcPr>
          <w:p w14:paraId="5891E056">
            <w:pPr>
              <w:spacing w:line="400" w:lineRule="exact"/>
              <w:rPr>
                <w:rFonts w:hint="eastAsia" w:ascii="仿宋" w:hAnsi="仿宋" w:eastAsia="仿宋" w:cs="仿宋"/>
                <w:sz w:val="21"/>
                <w:szCs w:val="21"/>
              </w:rPr>
            </w:pPr>
            <w:r>
              <w:rPr>
                <w:rFonts w:hint="eastAsia" w:ascii="仿宋" w:hAnsi="仿宋" w:eastAsia="仿宋" w:cs="仿宋"/>
                <w:sz w:val="21"/>
                <w:szCs w:val="21"/>
              </w:rPr>
              <w:t>讲课学时：</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0A4DE0AD">
            <w:pPr>
              <w:spacing w:line="400" w:lineRule="exact"/>
              <w:rPr>
                <w:rFonts w:hint="eastAsia" w:ascii="仿宋" w:hAnsi="仿宋" w:eastAsia="仿宋" w:cs="仿宋"/>
                <w:sz w:val="21"/>
                <w:szCs w:val="21"/>
              </w:rPr>
            </w:pPr>
            <w:r>
              <w:rPr>
                <w:rFonts w:hint="eastAsia" w:ascii="仿宋" w:hAnsi="仿宋" w:eastAsia="仿宋" w:cs="仿宋"/>
                <w:sz w:val="21"/>
                <w:szCs w:val="21"/>
              </w:rPr>
              <w:t>实验学时：</w:t>
            </w:r>
          </w:p>
        </w:tc>
      </w:tr>
      <w:tr w14:paraId="5435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0"/>
            <w:vAlign w:val="center"/>
          </w:tcPr>
          <w:p w14:paraId="329ECB66">
            <w:pPr>
              <w:widowControl/>
              <w:jc w:val="left"/>
              <w:rPr>
                <w:rFonts w:hint="eastAsia" w:ascii="仿宋" w:hAnsi="仿宋" w:eastAsia="仿宋" w:cs="仿宋"/>
                <w:b/>
                <w:bCs/>
                <w:sz w:val="21"/>
                <w:szCs w:val="21"/>
              </w:rPr>
            </w:pPr>
          </w:p>
        </w:tc>
        <w:tc>
          <w:tcPr>
            <w:tcW w:w="2799" w:type="dxa"/>
            <w:gridSpan w:val="2"/>
            <w:tcBorders>
              <w:top w:val="single" w:color="auto" w:sz="4" w:space="0"/>
              <w:left w:val="single" w:color="auto" w:sz="4" w:space="0"/>
              <w:bottom w:val="single" w:color="auto" w:sz="4" w:space="0"/>
              <w:right w:val="single" w:color="auto" w:sz="4" w:space="0"/>
            </w:tcBorders>
            <w:noWrap w:val="0"/>
            <w:vAlign w:val="center"/>
          </w:tcPr>
          <w:p w14:paraId="0EBC5120">
            <w:pPr>
              <w:spacing w:line="400" w:lineRule="exact"/>
              <w:rPr>
                <w:rFonts w:hint="eastAsia" w:ascii="仿宋" w:hAnsi="仿宋" w:eastAsia="仿宋" w:cs="仿宋"/>
                <w:sz w:val="21"/>
                <w:szCs w:val="21"/>
              </w:rPr>
            </w:pPr>
            <w:r>
              <w:rPr>
                <w:rFonts w:hint="eastAsia" w:ascii="仿宋" w:hAnsi="仿宋" w:eastAsia="仿宋" w:cs="仿宋"/>
                <w:sz w:val="21"/>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noWrap w:val="0"/>
            <w:vAlign w:val="center"/>
          </w:tcPr>
          <w:p w14:paraId="0ED4A95A">
            <w:pPr>
              <w:spacing w:line="400" w:lineRule="exact"/>
              <w:rPr>
                <w:rFonts w:hint="eastAsia" w:ascii="仿宋" w:hAnsi="仿宋" w:eastAsia="仿宋" w:cs="仿宋"/>
                <w:sz w:val="21"/>
                <w:szCs w:val="21"/>
              </w:rPr>
            </w:pPr>
            <w:r>
              <w:rPr>
                <w:rFonts w:hint="eastAsia" w:ascii="仿宋" w:hAnsi="仿宋" w:eastAsia="仿宋" w:cs="仿宋"/>
                <w:sz w:val="21"/>
                <w:szCs w:val="21"/>
              </w:rPr>
              <w:t xml:space="preserve">开课单位：   </w:t>
            </w:r>
          </w:p>
        </w:tc>
        <w:tc>
          <w:tcPr>
            <w:tcW w:w="2700" w:type="dxa"/>
            <w:gridSpan w:val="2"/>
            <w:tcBorders>
              <w:top w:val="single" w:color="auto" w:sz="4" w:space="0"/>
              <w:left w:val="single" w:color="auto" w:sz="4" w:space="0"/>
              <w:bottom w:val="single" w:color="auto" w:sz="4" w:space="0"/>
              <w:right w:val="single" w:color="auto" w:sz="4" w:space="0"/>
            </w:tcBorders>
            <w:noWrap w:val="0"/>
            <w:vAlign w:val="center"/>
          </w:tcPr>
          <w:p w14:paraId="23F225E4">
            <w:pPr>
              <w:spacing w:line="400" w:lineRule="exact"/>
              <w:rPr>
                <w:rFonts w:hint="eastAsia" w:ascii="仿宋" w:hAnsi="仿宋" w:eastAsia="仿宋" w:cs="仿宋"/>
                <w:sz w:val="21"/>
                <w:szCs w:val="21"/>
              </w:rPr>
            </w:pPr>
            <w:r>
              <w:rPr>
                <w:rFonts w:hint="eastAsia" w:ascii="仿宋" w:hAnsi="仿宋" w:eastAsia="仿宋" w:cs="仿宋"/>
                <w:sz w:val="21"/>
                <w:szCs w:val="21"/>
              </w:rPr>
              <w:t>课程性质：必修/选修</w:t>
            </w:r>
          </w:p>
        </w:tc>
      </w:tr>
      <w:tr w14:paraId="77EB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jc w:val="center"/>
        </w:trPr>
        <w:tc>
          <w:tcPr>
            <w:tcW w:w="8748" w:type="dxa"/>
            <w:gridSpan w:val="8"/>
            <w:tcBorders>
              <w:top w:val="single" w:color="auto" w:sz="4" w:space="0"/>
              <w:left w:val="single" w:color="auto" w:sz="4" w:space="0"/>
              <w:bottom w:val="single" w:color="auto" w:sz="4" w:space="0"/>
              <w:right w:val="single" w:color="auto" w:sz="4" w:space="0"/>
            </w:tcBorders>
            <w:noWrap w:val="0"/>
            <w:vAlign w:val="center"/>
          </w:tcPr>
          <w:p w14:paraId="41EBE3BC">
            <w:pPr>
              <w:spacing w:line="400" w:lineRule="exact"/>
              <w:rPr>
                <w:rFonts w:hint="eastAsia" w:ascii="仿宋" w:hAnsi="仿宋" w:eastAsia="仿宋" w:cs="仿宋"/>
                <w:b/>
                <w:bCs/>
                <w:sz w:val="21"/>
                <w:szCs w:val="21"/>
              </w:rPr>
            </w:pPr>
            <w:r>
              <w:rPr>
                <w:rFonts w:hint="eastAsia" w:ascii="仿宋" w:hAnsi="仿宋" w:eastAsia="仿宋" w:cs="仿宋"/>
                <w:b/>
                <w:bCs/>
                <w:sz w:val="21"/>
                <w:szCs w:val="21"/>
              </w:rPr>
              <w:t>调整原因：</w:t>
            </w:r>
          </w:p>
          <w:p w14:paraId="767D2FF6">
            <w:pPr>
              <w:spacing w:line="400" w:lineRule="exact"/>
              <w:rPr>
                <w:rFonts w:hint="eastAsia" w:ascii="仿宋" w:hAnsi="仿宋" w:eastAsia="仿宋" w:cs="仿宋"/>
                <w:sz w:val="21"/>
                <w:szCs w:val="21"/>
              </w:rPr>
            </w:pPr>
          </w:p>
          <w:p w14:paraId="638E4826">
            <w:pPr>
              <w:spacing w:line="400" w:lineRule="exact"/>
              <w:rPr>
                <w:rFonts w:hint="eastAsia" w:ascii="仿宋" w:hAnsi="仿宋" w:eastAsia="仿宋" w:cs="仿宋"/>
                <w:sz w:val="21"/>
                <w:szCs w:val="21"/>
              </w:rPr>
            </w:pPr>
          </w:p>
          <w:p w14:paraId="1D1987F6">
            <w:pPr>
              <w:spacing w:line="400" w:lineRule="exact"/>
              <w:rPr>
                <w:rFonts w:hint="eastAsia" w:ascii="仿宋" w:hAnsi="仿宋" w:eastAsia="仿宋" w:cs="仿宋"/>
                <w:sz w:val="21"/>
                <w:szCs w:val="21"/>
              </w:rPr>
            </w:pPr>
          </w:p>
          <w:p w14:paraId="44BD2632">
            <w:pPr>
              <w:spacing w:line="400" w:lineRule="exact"/>
              <w:ind w:firstLine="3402" w:firstLineChars="1620"/>
              <w:jc w:val="right"/>
              <w:rPr>
                <w:rFonts w:hint="eastAsia" w:ascii="仿宋" w:hAnsi="仿宋" w:eastAsia="仿宋" w:cs="仿宋"/>
                <w:sz w:val="21"/>
                <w:szCs w:val="21"/>
              </w:rPr>
            </w:pPr>
            <w:r>
              <w:rPr>
                <w:rFonts w:hint="eastAsia" w:ascii="仿宋" w:hAnsi="仿宋" w:eastAsia="仿宋" w:cs="仿宋"/>
                <w:sz w:val="21"/>
                <w:szCs w:val="21"/>
              </w:rPr>
              <w:t>专业负责人签字：         年   月   日</w:t>
            </w:r>
          </w:p>
        </w:tc>
      </w:tr>
      <w:tr w14:paraId="62AC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748" w:type="dxa"/>
            <w:gridSpan w:val="8"/>
            <w:tcBorders>
              <w:top w:val="single" w:color="auto" w:sz="4" w:space="0"/>
              <w:left w:val="single" w:color="auto" w:sz="4" w:space="0"/>
              <w:bottom w:val="single" w:color="auto" w:sz="4" w:space="0"/>
              <w:right w:val="single" w:color="auto" w:sz="4" w:space="0"/>
            </w:tcBorders>
            <w:noWrap w:val="0"/>
            <w:vAlign w:val="top"/>
          </w:tcPr>
          <w:p w14:paraId="3E5C59DA">
            <w:pPr>
              <w:spacing w:line="400" w:lineRule="exact"/>
              <w:rPr>
                <w:rFonts w:hint="eastAsia" w:ascii="仿宋" w:hAnsi="仿宋" w:eastAsia="仿宋" w:cs="仿宋"/>
                <w:b/>
                <w:bCs/>
                <w:sz w:val="21"/>
                <w:szCs w:val="21"/>
              </w:rPr>
            </w:pPr>
            <w:r>
              <w:rPr>
                <w:rFonts w:hint="eastAsia" w:ascii="仿宋" w:hAnsi="仿宋" w:eastAsia="仿宋" w:cs="仿宋"/>
                <w:b/>
                <w:bCs/>
                <w:sz w:val="21"/>
                <w:szCs w:val="21"/>
              </w:rPr>
              <w:t>院（部）领导意见：</w:t>
            </w:r>
          </w:p>
          <w:p w14:paraId="0DA7E8FA">
            <w:pPr>
              <w:spacing w:line="400" w:lineRule="exact"/>
              <w:rPr>
                <w:rFonts w:hint="eastAsia" w:ascii="仿宋" w:hAnsi="仿宋" w:eastAsia="仿宋" w:cs="仿宋"/>
                <w:sz w:val="21"/>
                <w:szCs w:val="21"/>
              </w:rPr>
            </w:pPr>
          </w:p>
          <w:p w14:paraId="4507EFEE">
            <w:pPr>
              <w:spacing w:line="400" w:lineRule="exact"/>
              <w:rPr>
                <w:rFonts w:hint="eastAsia" w:ascii="仿宋" w:hAnsi="仿宋" w:eastAsia="仿宋" w:cs="仿宋"/>
                <w:sz w:val="21"/>
                <w:szCs w:val="21"/>
              </w:rPr>
            </w:pPr>
            <w:r>
              <w:rPr>
                <w:rFonts w:hint="eastAsia" w:ascii="仿宋" w:hAnsi="仿宋" w:eastAsia="仿宋" w:cs="仿宋"/>
                <w:sz w:val="21"/>
                <w:szCs w:val="21"/>
              </w:rPr>
              <w:t xml:space="preserve">                                       </w:t>
            </w:r>
          </w:p>
          <w:p w14:paraId="4DC025DB">
            <w:pPr>
              <w:spacing w:line="400" w:lineRule="exact"/>
              <w:ind w:firstLine="1680" w:firstLineChars="800"/>
              <w:jc w:val="right"/>
              <w:rPr>
                <w:rFonts w:hint="eastAsia" w:ascii="仿宋" w:hAnsi="仿宋" w:eastAsia="仿宋" w:cs="仿宋"/>
                <w:sz w:val="21"/>
                <w:szCs w:val="21"/>
              </w:rPr>
            </w:pP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主管院长签字（单位盖章）：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   月   日</w:t>
            </w:r>
          </w:p>
          <w:p w14:paraId="09D5449F">
            <w:pPr>
              <w:spacing w:line="400" w:lineRule="exact"/>
              <w:ind w:firstLine="1260" w:firstLineChars="600"/>
              <w:jc w:val="right"/>
              <w:rPr>
                <w:rFonts w:hint="eastAsia" w:ascii="仿宋" w:hAnsi="仿宋" w:eastAsia="仿宋" w:cs="仿宋"/>
                <w:sz w:val="21"/>
                <w:szCs w:val="21"/>
              </w:rPr>
            </w:pPr>
            <w:r>
              <w:rPr>
                <w:rFonts w:hint="eastAsia" w:ascii="仿宋" w:hAnsi="仿宋" w:eastAsia="仿宋" w:cs="仿宋"/>
                <w:sz w:val="21"/>
                <w:szCs w:val="21"/>
              </w:rPr>
              <w:t xml:space="preserve">授课学院主管院长签字（单位盖章）：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   月   日</w:t>
            </w:r>
          </w:p>
        </w:tc>
      </w:tr>
      <w:tr w14:paraId="0647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8748" w:type="dxa"/>
            <w:gridSpan w:val="8"/>
            <w:tcBorders>
              <w:top w:val="single" w:color="auto" w:sz="4" w:space="0"/>
              <w:left w:val="single" w:color="auto" w:sz="4" w:space="0"/>
              <w:bottom w:val="single" w:color="auto" w:sz="4" w:space="0"/>
              <w:right w:val="single" w:color="auto" w:sz="4" w:space="0"/>
            </w:tcBorders>
            <w:noWrap w:val="0"/>
            <w:vAlign w:val="top"/>
          </w:tcPr>
          <w:p w14:paraId="6B710413">
            <w:pPr>
              <w:spacing w:line="400" w:lineRule="exact"/>
              <w:rPr>
                <w:rFonts w:hint="eastAsia" w:ascii="仿宋" w:hAnsi="仿宋" w:eastAsia="仿宋" w:cs="仿宋"/>
                <w:sz w:val="21"/>
                <w:szCs w:val="21"/>
              </w:rPr>
            </w:pPr>
            <w:r>
              <w:rPr>
                <w:rFonts w:hint="eastAsia" w:ascii="仿宋" w:hAnsi="仿宋" w:eastAsia="仿宋" w:cs="仿宋"/>
                <w:b/>
                <w:bCs/>
                <w:sz w:val="21"/>
                <w:szCs w:val="21"/>
              </w:rPr>
              <w:t>教务处审核意见：</w:t>
            </w:r>
          </w:p>
          <w:p w14:paraId="43DE3253">
            <w:pPr>
              <w:spacing w:line="400" w:lineRule="exact"/>
              <w:rPr>
                <w:rFonts w:hint="eastAsia" w:ascii="仿宋" w:hAnsi="仿宋" w:eastAsia="仿宋" w:cs="仿宋"/>
                <w:sz w:val="21"/>
                <w:szCs w:val="21"/>
              </w:rPr>
            </w:pPr>
          </w:p>
          <w:p w14:paraId="7F1A6A21">
            <w:pPr>
              <w:tabs>
                <w:tab w:val="left" w:pos="3240"/>
              </w:tabs>
              <w:spacing w:line="400" w:lineRule="exact"/>
              <w:jc w:val="right"/>
              <w:rPr>
                <w:rFonts w:hint="eastAsia" w:ascii="仿宋" w:hAnsi="仿宋" w:eastAsia="仿宋" w:cs="仿宋"/>
                <w:sz w:val="21"/>
                <w:szCs w:val="21"/>
              </w:rPr>
            </w:pPr>
            <w:r>
              <w:rPr>
                <w:rFonts w:hint="eastAsia" w:ascii="仿宋" w:hAnsi="仿宋" w:eastAsia="仿宋" w:cs="仿宋"/>
                <w:sz w:val="21"/>
                <w:szCs w:val="21"/>
              </w:rPr>
              <w:tab/>
            </w:r>
            <w:r>
              <w:rPr>
                <w:rFonts w:hint="eastAsia" w:ascii="仿宋" w:hAnsi="仿宋" w:eastAsia="仿宋" w:cs="仿宋"/>
                <w:sz w:val="21"/>
                <w:szCs w:val="21"/>
              </w:rPr>
              <w:t xml:space="preserve">签字（教务处盖章）：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   月   日</w:t>
            </w:r>
          </w:p>
        </w:tc>
      </w:tr>
      <w:tr w14:paraId="7734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8748" w:type="dxa"/>
            <w:gridSpan w:val="8"/>
            <w:tcBorders>
              <w:top w:val="single" w:color="auto" w:sz="4" w:space="0"/>
              <w:left w:val="single" w:color="auto" w:sz="4" w:space="0"/>
              <w:bottom w:val="single" w:color="auto" w:sz="4" w:space="0"/>
              <w:right w:val="single" w:color="auto" w:sz="4" w:space="0"/>
            </w:tcBorders>
            <w:noWrap w:val="0"/>
            <w:vAlign w:val="top"/>
          </w:tcPr>
          <w:p w14:paraId="2449D782">
            <w:pPr>
              <w:spacing w:line="400" w:lineRule="exact"/>
              <w:rPr>
                <w:rFonts w:hint="eastAsia" w:ascii="仿宋" w:hAnsi="仿宋" w:eastAsia="仿宋" w:cs="仿宋"/>
                <w:b/>
                <w:bCs/>
                <w:sz w:val="21"/>
                <w:szCs w:val="21"/>
              </w:rPr>
            </w:pPr>
            <w:r>
              <w:rPr>
                <w:rFonts w:hint="eastAsia" w:ascii="仿宋" w:hAnsi="仿宋" w:eastAsia="仿宋" w:cs="仿宋"/>
                <w:b/>
                <w:bCs/>
                <w:sz w:val="21"/>
                <w:szCs w:val="21"/>
              </w:rPr>
              <w:t>学校审批意见：</w:t>
            </w:r>
          </w:p>
          <w:p w14:paraId="7393B323">
            <w:pPr>
              <w:spacing w:line="400" w:lineRule="exact"/>
              <w:rPr>
                <w:rFonts w:hint="eastAsia" w:ascii="仿宋" w:hAnsi="仿宋" w:eastAsia="仿宋" w:cs="仿宋"/>
                <w:b/>
                <w:bCs/>
                <w:sz w:val="21"/>
                <w:szCs w:val="21"/>
              </w:rPr>
            </w:pPr>
          </w:p>
          <w:p w14:paraId="4FA02619">
            <w:pPr>
              <w:spacing w:line="400" w:lineRule="exact"/>
              <w:jc w:val="right"/>
              <w:rPr>
                <w:rFonts w:hint="eastAsia" w:ascii="仿宋" w:hAnsi="仿宋" w:eastAsia="仿宋" w:cs="仿宋"/>
                <w:sz w:val="21"/>
                <w:szCs w:val="21"/>
              </w:rPr>
            </w:pPr>
            <w:r>
              <w:rPr>
                <w:rFonts w:hint="eastAsia" w:ascii="仿宋" w:hAnsi="仿宋" w:eastAsia="仿宋" w:cs="仿宋"/>
                <w:b/>
                <w:bCs/>
                <w:sz w:val="21"/>
                <w:szCs w:val="21"/>
              </w:rPr>
              <w:t xml:space="preserve"> </w:t>
            </w:r>
            <w:r>
              <w:rPr>
                <w:rFonts w:hint="eastAsia" w:ascii="仿宋" w:hAnsi="仿宋" w:eastAsia="仿宋" w:cs="仿宋"/>
                <w:sz w:val="21"/>
                <w:szCs w:val="21"/>
              </w:rPr>
              <w:t>教学指导委员会主任签字：</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年   月   日</w:t>
            </w:r>
          </w:p>
        </w:tc>
      </w:tr>
    </w:tbl>
    <w:p w14:paraId="360F3E84">
      <w:pPr>
        <w:spacing w:line="400" w:lineRule="exact"/>
        <w:rPr>
          <w:rFonts w:hint="eastAsia" w:ascii="楷体" w:hAnsi="楷体" w:eastAsia="楷体" w:cs="楷体"/>
        </w:rPr>
      </w:pPr>
      <w:r>
        <w:rPr>
          <w:rFonts w:hint="eastAsia" w:ascii="楷体" w:hAnsi="楷体" w:eastAsia="楷体" w:cs="楷体"/>
        </w:rPr>
        <w:t>填表须知：</w:t>
      </w:r>
    </w:p>
    <w:p w14:paraId="631439CC">
      <w:pPr>
        <w:ind w:firstLine="420" w:firstLineChars="200"/>
        <w:jc w:val="left"/>
        <w:rPr>
          <w:rFonts w:hint="eastAsia" w:ascii="楷体_GB2312" w:eastAsia="楷体_GB2312"/>
        </w:rPr>
      </w:pPr>
      <w:r>
        <w:rPr>
          <w:rFonts w:hint="eastAsia" w:ascii="楷体_GB2312" w:eastAsia="楷体_GB2312"/>
        </w:rPr>
        <w:t>1.每学期期中，核对下学期应开课程时如需变更培养方案，应填写本表一式二份报教务审批;教学任务一旦下达，则不允许变更；</w:t>
      </w:r>
    </w:p>
    <w:p w14:paraId="3AA2F28C">
      <w:pPr>
        <w:ind w:firstLine="420" w:firstLineChars="200"/>
        <w:jc w:val="left"/>
        <w:rPr>
          <w:rFonts w:hint="eastAsia" w:ascii="楷体_GB2312" w:eastAsia="楷体_GB2312"/>
        </w:rPr>
      </w:pPr>
      <w:r>
        <w:rPr>
          <w:rFonts w:hint="eastAsia" w:ascii="楷体_GB2312" w:eastAsia="楷体_GB2312"/>
        </w:rPr>
        <w:t>2.新开课程须附课程教学大纲；</w:t>
      </w:r>
    </w:p>
    <w:p w14:paraId="00B8EA8D">
      <w:pPr>
        <w:ind w:firstLine="420" w:firstLineChars="200"/>
        <w:jc w:val="left"/>
        <w:rPr>
          <w:rFonts w:hint="eastAsia" w:ascii="楷体_GB2312" w:eastAsia="楷体_GB2312"/>
        </w:rPr>
      </w:pPr>
      <w:r>
        <w:rPr>
          <w:rFonts w:hint="eastAsia" w:ascii="楷体_GB2312" w:eastAsia="楷体_GB2312"/>
        </w:rPr>
        <w:t>3.编号规则：学年学期+学院序号+顺序号(001-999),例如：（2018-2019-1）-01- 001；</w:t>
      </w:r>
    </w:p>
    <w:p w14:paraId="0FCE67D8">
      <w:pPr>
        <w:ind w:firstLine="420" w:firstLineChars="200"/>
        <w:jc w:val="left"/>
        <w:rPr>
          <w:rFonts w:hint="eastAsia" w:ascii="楷体_GB2312" w:eastAsia="楷体_GB2312"/>
        </w:rPr>
      </w:pPr>
      <w:r>
        <w:rPr>
          <w:rFonts w:hint="eastAsia" w:ascii="楷体_GB2312" w:eastAsia="楷体_GB2312"/>
        </w:rPr>
        <w:t>4.此表适用于学生所在单位和开课单位，涉及到跨学院开课的情况请部门之间商定，经学校认定后执行。</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60E2DB-7BB7-4FFE-87A8-6F520984A4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2D5A494-0B01-4DFF-BD0B-D54127BECE85}"/>
  </w:font>
  <w:font w:name="方正小标宋简体">
    <w:panose1 w:val="03000509000000000000"/>
    <w:charset w:val="86"/>
    <w:family w:val="script"/>
    <w:pitch w:val="default"/>
    <w:sig w:usb0="00000001" w:usb1="080E0000" w:usb2="00000000" w:usb3="00000000" w:csb0="00040000" w:csb1="00000000"/>
    <w:embedRegular r:id="rId3" w:fontKey="{3CEBA705-1520-4845-A177-572DB5163DA7}"/>
  </w:font>
  <w:font w:name="仿宋">
    <w:panose1 w:val="02010609060101010101"/>
    <w:charset w:val="86"/>
    <w:family w:val="modern"/>
    <w:pitch w:val="default"/>
    <w:sig w:usb0="800002BF" w:usb1="38CF7CFA" w:usb2="00000016" w:usb3="00000000" w:csb0="00040001" w:csb1="00000000"/>
    <w:embedRegular r:id="rId4" w:fontKey="{13E5759F-20F0-435B-9F11-19CEEC23FB71}"/>
  </w:font>
  <w:font w:name="Wingdings 2">
    <w:panose1 w:val="05020102010507070707"/>
    <w:charset w:val="02"/>
    <w:family w:val="decorative"/>
    <w:pitch w:val="default"/>
    <w:sig w:usb0="00000000" w:usb1="00000000" w:usb2="00000000" w:usb3="00000000" w:csb0="80000000" w:csb1="00000000"/>
    <w:embedRegular r:id="rId5" w:fontKey="{4FD30104-0CBB-4090-A20F-EEE67FAF9E98}"/>
  </w:font>
  <w:font w:name="楷体">
    <w:panose1 w:val="02010609060101010101"/>
    <w:charset w:val="86"/>
    <w:family w:val="auto"/>
    <w:pitch w:val="default"/>
    <w:sig w:usb0="800002BF" w:usb1="38CF7CFA" w:usb2="00000016" w:usb3="00000000" w:csb0="00040001" w:csb1="00000000"/>
    <w:embedRegular r:id="rId6" w:fontKey="{315925D0-05A3-46F2-810E-6A5D646A41C5}"/>
  </w:font>
  <w:font w:name="楷体_GB2312">
    <w:panose1 w:val="02010609030101010101"/>
    <w:charset w:val="86"/>
    <w:family w:val="modern"/>
    <w:pitch w:val="default"/>
    <w:sig w:usb0="00000001" w:usb1="080E0000" w:usb2="00000000" w:usb3="00000000" w:csb0="00040000" w:csb1="00000000"/>
    <w:embedRegular r:id="rId7" w:fontKey="{7D706C4B-4F3E-42F3-B8B2-237232CAE7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2115E">
    <w:pPr>
      <w:wordWrap w:val="0"/>
      <w:adjustRightInd w:val="0"/>
      <w:snapToGrid w:val="0"/>
      <w:jc w:val="left"/>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DC2C906">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SbC8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KUmwvOgIAAHEEAAAOAAAAAAAAAAEAIAAAAB8BAABkcnMvZTJvRG9j&#10;LnhtbFBLBQYAAAAABgAGAFkBAADLBQAAAAA=&#10;">
              <v:fill on="f" focussize="0,0"/>
              <v:stroke on="f" weight="0.5pt"/>
              <v:imagedata o:title=""/>
              <o:lock v:ext="edit" aspectratio="f"/>
              <v:textbox inset="0mm,0mm,0mm,0mm" style="mso-fit-shape-to-text:t;">
                <w:txbxContent>
                  <w:p w14:paraId="2DC2C906">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8DB208"/>
    <w:multiLevelType w:val="singleLevel"/>
    <w:tmpl w:val="AC8DB208"/>
    <w:lvl w:ilvl="0" w:tentative="0">
      <w:start w:val="1"/>
      <w:numFmt w:val="decimal"/>
      <w:lvlText w:val="%1."/>
      <w:lvlJc w:val="left"/>
      <w:pPr>
        <w:tabs>
          <w:tab w:val="left" w:pos="312"/>
        </w:tabs>
      </w:pPr>
    </w:lvl>
  </w:abstractNum>
  <w:abstractNum w:abstractNumId="1">
    <w:nsid w:val="B5C9F3B3"/>
    <w:multiLevelType w:val="multilevel"/>
    <w:tmpl w:val="B5C9F3B3"/>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C8AB260F"/>
    <w:multiLevelType w:val="singleLevel"/>
    <w:tmpl w:val="C8AB260F"/>
    <w:lvl w:ilvl="0" w:tentative="0">
      <w:start w:val="1"/>
      <w:numFmt w:val="decimal"/>
      <w:suff w:val="nothing"/>
      <w:lvlText w:val="（%1）"/>
      <w:lvlJc w:val="left"/>
    </w:lvl>
  </w:abstractNum>
  <w:abstractNum w:abstractNumId="3">
    <w:nsid w:val="072F4275"/>
    <w:multiLevelType w:val="singleLevel"/>
    <w:tmpl w:val="072F4275"/>
    <w:lvl w:ilvl="0" w:tentative="0">
      <w:start w:val="1"/>
      <w:numFmt w:val="decimal"/>
      <w:suff w:val="nothing"/>
      <w:lvlText w:val="（%1）"/>
      <w:lvlJc w:val="left"/>
    </w:lvl>
  </w:abstractNum>
  <w:abstractNum w:abstractNumId="4">
    <w:nsid w:val="0956657E"/>
    <w:multiLevelType w:val="singleLevel"/>
    <w:tmpl w:val="0956657E"/>
    <w:lvl w:ilvl="0" w:tentative="0">
      <w:start w:val="1"/>
      <w:numFmt w:val="decimal"/>
      <w:suff w:val="nothing"/>
      <w:lvlText w:val="（%1）"/>
      <w:lvlJc w:val="left"/>
    </w:lvl>
  </w:abstractNum>
  <w:abstractNum w:abstractNumId="5">
    <w:nsid w:val="10A17530"/>
    <w:multiLevelType w:val="multilevel"/>
    <w:tmpl w:val="10A17530"/>
    <w:lvl w:ilvl="0" w:tentative="0">
      <w:start w:val="1"/>
      <w:numFmt w:val="decimal"/>
      <w:suff w:val="nothing"/>
      <w:lvlText w:val="（%1）"/>
      <w:lvlJc w:val="left"/>
      <w:pPr>
        <w:ind w:left="-2"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3363A86"/>
    <w:multiLevelType w:val="singleLevel"/>
    <w:tmpl w:val="13363A86"/>
    <w:lvl w:ilvl="0" w:tentative="0">
      <w:start w:val="1"/>
      <w:numFmt w:val="decimal"/>
      <w:suff w:val="nothing"/>
      <w:lvlText w:val="（%1）"/>
      <w:lvlJc w:val="left"/>
    </w:lvl>
  </w:abstractNum>
  <w:abstractNum w:abstractNumId="7">
    <w:nsid w:val="18C871B4"/>
    <w:multiLevelType w:val="singleLevel"/>
    <w:tmpl w:val="18C871B4"/>
    <w:lvl w:ilvl="0" w:tentative="0">
      <w:start w:val="1"/>
      <w:numFmt w:val="decimal"/>
      <w:suff w:val="nothing"/>
      <w:lvlText w:val="（%1）"/>
      <w:lvlJc w:val="left"/>
    </w:lvl>
  </w:abstractNum>
  <w:abstractNum w:abstractNumId="8">
    <w:nsid w:val="1CD1462E"/>
    <w:multiLevelType w:val="singleLevel"/>
    <w:tmpl w:val="1CD1462E"/>
    <w:lvl w:ilvl="0" w:tentative="0">
      <w:start w:val="1"/>
      <w:numFmt w:val="decimal"/>
      <w:suff w:val="nothing"/>
      <w:lvlText w:val="（%1）"/>
      <w:lvlJc w:val="left"/>
    </w:lvl>
  </w:abstractNum>
  <w:abstractNum w:abstractNumId="9">
    <w:nsid w:val="242268E2"/>
    <w:multiLevelType w:val="singleLevel"/>
    <w:tmpl w:val="242268E2"/>
    <w:lvl w:ilvl="0" w:tentative="0">
      <w:start w:val="1"/>
      <w:numFmt w:val="decimal"/>
      <w:suff w:val="nothing"/>
      <w:lvlText w:val="（%1）"/>
      <w:lvlJc w:val="left"/>
    </w:lvl>
  </w:abstractNum>
  <w:abstractNum w:abstractNumId="10">
    <w:nsid w:val="28F85CFC"/>
    <w:multiLevelType w:val="singleLevel"/>
    <w:tmpl w:val="28F85CFC"/>
    <w:lvl w:ilvl="0" w:tentative="0">
      <w:start w:val="1"/>
      <w:numFmt w:val="decimal"/>
      <w:suff w:val="nothing"/>
      <w:lvlText w:val="（%1）"/>
      <w:lvlJc w:val="left"/>
    </w:lvl>
  </w:abstractNum>
  <w:abstractNum w:abstractNumId="11">
    <w:nsid w:val="28FF075F"/>
    <w:multiLevelType w:val="singleLevel"/>
    <w:tmpl w:val="28FF075F"/>
    <w:lvl w:ilvl="0" w:tentative="0">
      <w:start w:val="1"/>
      <w:numFmt w:val="decimal"/>
      <w:suff w:val="nothing"/>
      <w:lvlText w:val="（%1）"/>
      <w:lvlJc w:val="left"/>
    </w:lvl>
  </w:abstractNum>
  <w:abstractNum w:abstractNumId="12">
    <w:nsid w:val="2B691740"/>
    <w:multiLevelType w:val="singleLevel"/>
    <w:tmpl w:val="2B691740"/>
    <w:lvl w:ilvl="0" w:tentative="0">
      <w:start w:val="1"/>
      <w:numFmt w:val="decimal"/>
      <w:suff w:val="nothing"/>
      <w:lvlText w:val="（%1）"/>
      <w:lvlJc w:val="left"/>
    </w:lvl>
  </w:abstractNum>
  <w:abstractNum w:abstractNumId="13">
    <w:nsid w:val="2FDC417F"/>
    <w:multiLevelType w:val="singleLevel"/>
    <w:tmpl w:val="2FDC417F"/>
    <w:lvl w:ilvl="0" w:tentative="0">
      <w:start w:val="1"/>
      <w:numFmt w:val="decimal"/>
      <w:suff w:val="nothing"/>
      <w:lvlText w:val="（%1）"/>
      <w:lvlJc w:val="left"/>
    </w:lvl>
  </w:abstractNum>
  <w:abstractNum w:abstractNumId="14">
    <w:nsid w:val="316A7128"/>
    <w:multiLevelType w:val="singleLevel"/>
    <w:tmpl w:val="316A7128"/>
    <w:lvl w:ilvl="0" w:tentative="0">
      <w:start w:val="1"/>
      <w:numFmt w:val="decimal"/>
      <w:suff w:val="nothing"/>
      <w:lvlText w:val="（%1）"/>
      <w:lvlJc w:val="left"/>
    </w:lvl>
  </w:abstractNum>
  <w:abstractNum w:abstractNumId="15">
    <w:nsid w:val="325D6519"/>
    <w:multiLevelType w:val="singleLevel"/>
    <w:tmpl w:val="325D6519"/>
    <w:lvl w:ilvl="0" w:tentative="0">
      <w:start w:val="1"/>
      <w:numFmt w:val="decimal"/>
      <w:suff w:val="nothing"/>
      <w:lvlText w:val="（%1）"/>
      <w:lvlJc w:val="left"/>
    </w:lvl>
  </w:abstractNum>
  <w:abstractNum w:abstractNumId="16">
    <w:nsid w:val="35C62442"/>
    <w:multiLevelType w:val="singleLevel"/>
    <w:tmpl w:val="35C62442"/>
    <w:lvl w:ilvl="0" w:tentative="0">
      <w:start w:val="1"/>
      <w:numFmt w:val="decimal"/>
      <w:suff w:val="nothing"/>
      <w:lvlText w:val="（%1）"/>
      <w:lvlJc w:val="left"/>
    </w:lvl>
  </w:abstractNum>
  <w:abstractNum w:abstractNumId="17">
    <w:nsid w:val="35FC8310"/>
    <w:multiLevelType w:val="multilevel"/>
    <w:tmpl w:val="35FC831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395B258B"/>
    <w:multiLevelType w:val="singleLevel"/>
    <w:tmpl w:val="395B258B"/>
    <w:lvl w:ilvl="0" w:tentative="0">
      <w:start w:val="1"/>
      <w:numFmt w:val="decimal"/>
      <w:suff w:val="nothing"/>
      <w:lvlText w:val="（%1）"/>
      <w:lvlJc w:val="left"/>
    </w:lvl>
  </w:abstractNum>
  <w:abstractNum w:abstractNumId="19">
    <w:nsid w:val="3BEC7C29"/>
    <w:multiLevelType w:val="singleLevel"/>
    <w:tmpl w:val="3BEC7C29"/>
    <w:lvl w:ilvl="0" w:tentative="0">
      <w:start w:val="1"/>
      <w:numFmt w:val="decimal"/>
      <w:suff w:val="nothing"/>
      <w:lvlText w:val="（%1）"/>
      <w:lvlJc w:val="left"/>
    </w:lvl>
  </w:abstractNum>
  <w:abstractNum w:abstractNumId="20">
    <w:nsid w:val="3EBE369F"/>
    <w:multiLevelType w:val="singleLevel"/>
    <w:tmpl w:val="3EBE369F"/>
    <w:lvl w:ilvl="0" w:tentative="0">
      <w:start w:val="1"/>
      <w:numFmt w:val="decimal"/>
      <w:suff w:val="nothing"/>
      <w:lvlText w:val="（%1）"/>
      <w:lvlJc w:val="left"/>
    </w:lvl>
  </w:abstractNum>
  <w:abstractNum w:abstractNumId="21">
    <w:nsid w:val="4033197A"/>
    <w:multiLevelType w:val="singleLevel"/>
    <w:tmpl w:val="4033197A"/>
    <w:lvl w:ilvl="0" w:tentative="0">
      <w:start w:val="1"/>
      <w:numFmt w:val="decimal"/>
      <w:suff w:val="nothing"/>
      <w:lvlText w:val="（%1）"/>
      <w:lvlJc w:val="left"/>
    </w:lvl>
  </w:abstractNum>
  <w:abstractNum w:abstractNumId="22">
    <w:nsid w:val="51015114"/>
    <w:multiLevelType w:val="singleLevel"/>
    <w:tmpl w:val="51015114"/>
    <w:lvl w:ilvl="0" w:tentative="0">
      <w:start w:val="1"/>
      <w:numFmt w:val="decimal"/>
      <w:suff w:val="nothing"/>
      <w:lvlText w:val="（%1）"/>
      <w:lvlJc w:val="left"/>
    </w:lvl>
  </w:abstractNum>
  <w:abstractNum w:abstractNumId="23">
    <w:nsid w:val="535C3B65"/>
    <w:multiLevelType w:val="singleLevel"/>
    <w:tmpl w:val="535C3B65"/>
    <w:lvl w:ilvl="0" w:tentative="0">
      <w:start w:val="1"/>
      <w:numFmt w:val="decimal"/>
      <w:suff w:val="nothing"/>
      <w:lvlText w:val="（%1）"/>
      <w:lvlJc w:val="left"/>
    </w:lvl>
  </w:abstractNum>
  <w:abstractNum w:abstractNumId="24">
    <w:nsid w:val="53C60E62"/>
    <w:multiLevelType w:val="singleLevel"/>
    <w:tmpl w:val="53C60E62"/>
    <w:lvl w:ilvl="0" w:tentative="0">
      <w:start w:val="1"/>
      <w:numFmt w:val="decimal"/>
      <w:suff w:val="nothing"/>
      <w:lvlText w:val="（%1）"/>
      <w:lvlJc w:val="left"/>
    </w:lvl>
  </w:abstractNum>
  <w:abstractNum w:abstractNumId="25">
    <w:nsid w:val="58226350"/>
    <w:multiLevelType w:val="singleLevel"/>
    <w:tmpl w:val="58226350"/>
    <w:lvl w:ilvl="0" w:tentative="0">
      <w:start w:val="1"/>
      <w:numFmt w:val="decimal"/>
      <w:suff w:val="nothing"/>
      <w:lvlText w:val="（%1）"/>
      <w:lvlJc w:val="left"/>
    </w:lvl>
  </w:abstractNum>
  <w:abstractNum w:abstractNumId="26">
    <w:nsid w:val="675F06D6"/>
    <w:multiLevelType w:val="singleLevel"/>
    <w:tmpl w:val="675F06D6"/>
    <w:lvl w:ilvl="0" w:tentative="0">
      <w:start w:val="1"/>
      <w:numFmt w:val="decimal"/>
      <w:suff w:val="nothing"/>
      <w:lvlText w:val="（%1）"/>
      <w:lvlJc w:val="left"/>
    </w:lvl>
  </w:abstractNum>
  <w:abstractNum w:abstractNumId="27">
    <w:nsid w:val="7134C473"/>
    <w:multiLevelType w:val="singleLevel"/>
    <w:tmpl w:val="7134C473"/>
    <w:lvl w:ilvl="0" w:tentative="0">
      <w:start w:val="1"/>
      <w:numFmt w:val="decimal"/>
      <w:suff w:val="nothing"/>
      <w:lvlText w:val="（%1）"/>
      <w:lvlJc w:val="left"/>
    </w:lvl>
  </w:abstractNum>
  <w:num w:numId="1">
    <w:abstractNumId w:val="5"/>
  </w:num>
  <w:num w:numId="2">
    <w:abstractNumId w:val="1"/>
  </w:num>
  <w:num w:numId="3">
    <w:abstractNumId w:val="17"/>
  </w:num>
  <w:num w:numId="4">
    <w:abstractNumId w:val="2"/>
  </w:num>
  <w:num w:numId="5">
    <w:abstractNumId w:val="19"/>
  </w:num>
  <w:num w:numId="6">
    <w:abstractNumId w:val="14"/>
  </w:num>
  <w:num w:numId="7">
    <w:abstractNumId w:val="24"/>
  </w:num>
  <w:num w:numId="8">
    <w:abstractNumId w:val="27"/>
  </w:num>
  <w:num w:numId="9">
    <w:abstractNumId w:val="7"/>
  </w:num>
  <w:num w:numId="10">
    <w:abstractNumId w:val="4"/>
  </w:num>
  <w:num w:numId="11">
    <w:abstractNumId w:val="25"/>
  </w:num>
  <w:num w:numId="12">
    <w:abstractNumId w:val="3"/>
  </w:num>
  <w:num w:numId="13">
    <w:abstractNumId w:val="21"/>
  </w:num>
  <w:num w:numId="14">
    <w:abstractNumId w:val="6"/>
  </w:num>
  <w:num w:numId="15">
    <w:abstractNumId w:val="11"/>
  </w:num>
  <w:num w:numId="16">
    <w:abstractNumId w:val="22"/>
  </w:num>
  <w:num w:numId="17">
    <w:abstractNumId w:val="15"/>
  </w:num>
  <w:num w:numId="18">
    <w:abstractNumId w:val="10"/>
  </w:num>
  <w:num w:numId="19">
    <w:abstractNumId w:val="16"/>
  </w:num>
  <w:num w:numId="20">
    <w:abstractNumId w:val="20"/>
  </w:num>
  <w:num w:numId="21">
    <w:abstractNumId w:val="23"/>
  </w:num>
  <w:num w:numId="22">
    <w:abstractNumId w:val="18"/>
  </w:num>
  <w:num w:numId="23">
    <w:abstractNumId w:val="8"/>
  </w:num>
  <w:num w:numId="24">
    <w:abstractNumId w:val="9"/>
  </w:num>
  <w:num w:numId="25">
    <w:abstractNumId w:val="12"/>
  </w:num>
  <w:num w:numId="26">
    <w:abstractNumId w:val="13"/>
  </w:num>
  <w:num w:numId="27">
    <w:abstractNumId w:val="2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ZTdhOTU5MDJiNGNjNDZhZDljZjBmZTIwNzQyZDMifQ=="/>
  </w:docVars>
  <w:rsids>
    <w:rsidRoot w:val="001C538A"/>
    <w:rsid w:val="00003571"/>
    <w:rsid w:val="00011FD4"/>
    <w:rsid w:val="000454F3"/>
    <w:rsid w:val="00057167"/>
    <w:rsid w:val="0007493F"/>
    <w:rsid w:val="00075A14"/>
    <w:rsid w:val="000A21F5"/>
    <w:rsid w:val="000B327F"/>
    <w:rsid w:val="000D6A92"/>
    <w:rsid w:val="000F73F1"/>
    <w:rsid w:val="00105F30"/>
    <w:rsid w:val="00106F18"/>
    <w:rsid w:val="00113AEA"/>
    <w:rsid w:val="00123067"/>
    <w:rsid w:val="00155A0F"/>
    <w:rsid w:val="00185493"/>
    <w:rsid w:val="00190C80"/>
    <w:rsid w:val="001C3BD6"/>
    <w:rsid w:val="001C538A"/>
    <w:rsid w:val="002329F4"/>
    <w:rsid w:val="002377B6"/>
    <w:rsid w:val="0025571B"/>
    <w:rsid w:val="00274CF8"/>
    <w:rsid w:val="002E6D69"/>
    <w:rsid w:val="00303DDB"/>
    <w:rsid w:val="0031601E"/>
    <w:rsid w:val="00317799"/>
    <w:rsid w:val="00355FCE"/>
    <w:rsid w:val="0035732C"/>
    <w:rsid w:val="00392213"/>
    <w:rsid w:val="003C4CCF"/>
    <w:rsid w:val="003D1732"/>
    <w:rsid w:val="00441BB4"/>
    <w:rsid w:val="004732DC"/>
    <w:rsid w:val="0048092D"/>
    <w:rsid w:val="00485497"/>
    <w:rsid w:val="004A3F90"/>
    <w:rsid w:val="004B1FEC"/>
    <w:rsid w:val="004F20C3"/>
    <w:rsid w:val="00501943"/>
    <w:rsid w:val="005242FD"/>
    <w:rsid w:val="00532EE0"/>
    <w:rsid w:val="00580299"/>
    <w:rsid w:val="00595702"/>
    <w:rsid w:val="00600600"/>
    <w:rsid w:val="00610875"/>
    <w:rsid w:val="00631291"/>
    <w:rsid w:val="006334FF"/>
    <w:rsid w:val="0063772D"/>
    <w:rsid w:val="0066286F"/>
    <w:rsid w:val="0067014B"/>
    <w:rsid w:val="00675D56"/>
    <w:rsid w:val="00676753"/>
    <w:rsid w:val="00680F04"/>
    <w:rsid w:val="006B7853"/>
    <w:rsid w:val="006E6706"/>
    <w:rsid w:val="006F2F10"/>
    <w:rsid w:val="006F3CF7"/>
    <w:rsid w:val="007020A9"/>
    <w:rsid w:val="00727663"/>
    <w:rsid w:val="00734C01"/>
    <w:rsid w:val="0077638C"/>
    <w:rsid w:val="00781FB0"/>
    <w:rsid w:val="007B174A"/>
    <w:rsid w:val="007B7180"/>
    <w:rsid w:val="007D67D3"/>
    <w:rsid w:val="0085342D"/>
    <w:rsid w:val="00867701"/>
    <w:rsid w:val="00876E5B"/>
    <w:rsid w:val="008C37EB"/>
    <w:rsid w:val="008E5837"/>
    <w:rsid w:val="008F7A9A"/>
    <w:rsid w:val="00923BD3"/>
    <w:rsid w:val="00971253"/>
    <w:rsid w:val="009B1613"/>
    <w:rsid w:val="009C75DD"/>
    <w:rsid w:val="009E0A3E"/>
    <w:rsid w:val="009F63D0"/>
    <w:rsid w:val="00A66D1B"/>
    <w:rsid w:val="00A77B72"/>
    <w:rsid w:val="00A87D99"/>
    <w:rsid w:val="00AB58D9"/>
    <w:rsid w:val="00AC2DC1"/>
    <w:rsid w:val="00AC3B7F"/>
    <w:rsid w:val="00AE555E"/>
    <w:rsid w:val="00B3600B"/>
    <w:rsid w:val="00B7284F"/>
    <w:rsid w:val="00B8523E"/>
    <w:rsid w:val="00B96E7D"/>
    <w:rsid w:val="00BA00D8"/>
    <w:rsid w:val="00BB0176"/>
    <w:rsid w:val="00BC625E"/>
    <w:rsid w:val="00BF5C77"/>
    <w:rsid w:val="00C01DCD"/>
    <w:rsid w:val="00C25880"/>
    <w:rsid w:val="00C413D0"/>
    <w:rsid w:val="00C440C3"/>
    <w:rsid w:val="00C7356C"/>
    <w:rsid w:val="00CD434C"/>
    <w:rsid w:val="00CF6101"/>
    <w:rsid w:val="00D034BC"/>
    <w:rsid w:val="00D14334"/>
    <w:rsid w:val="00D179D0"/>
    <w:rsid w:val="00D33B4C"/>
    <w:rsid w:val="00D65295"/>
    <w:rsid w:val="00D73266"/>
    <w:rsid w:val="00DB2CB4"/>
    <w:rsid w:val="00DE3972"/>
    <w:rsid w:val="00DF7FC3"/>
    <w:rsid w:val="00E14E19"/>
    <w:rsid w:val="00E62779"/>
    <w:rsid w:val="00E801E8"/>
    <w:rsid w:val="00EC0DA4"/>
    <w:rsid w:val="00F17EF7"/>
    <w:rsid w:val="00F84084"/>
    <w:rsid w:val="00FB0F85"/>
    <w:rsid w:val="013B0C76"/>
    <w:rsid w:val="01437C9C"/>
    <w:rsid w:val="01574D30"/>
    <w:rsid w:val="01D4545D"/>
    <w:rsid w:val="026F72FD"/>
    <w:rsid w:val="02723524"/>
    <w:rsid w:val="02AD1871"/>
    <w:rsid w:val="05721780"/>
    <w:rsid w:val="05B01870"/>
    <w:rsid w:val="05D85790"/>
    <w:rsid w:val="0662062E"/>
    <w:rsid w:val="06C52CB7"/>
    <w:rsid w:val="07342561"/>
    <w:rsid w:val="078235DA"/>
    <w:rsid w:val="08D132F7"/>
    <w:rsid w:val="0A4B34C9"/>
    <w:rsid w:val="0A731438"/>
    <w:rsid w:val="0AE14122"/>
    <w:rsid w:val="0C631072"/>
    <w:rsid w:val="0CBB508A"/>
    <w:rsid w:val="0D453D34"/>
    <w:rsid w:val="0D7F2FEB"/>
    <w:rsid w:val="0DA91536"/>
    <w:rsid w:val="0F113D34"/>
    <w:rsid w:val="0FC24482"/>
    <w:rsid w:val="0FD75DC0"/>
    <w:rsid w:val="10B84553"/>
    <w:rsid w:val="10E37E55"/>
    <w:rsid w:val="11D90AD7"/>
    <w:rsid w:val="11F64058"/>
    <w:rsid w:val="138543E7"/>
    <w:rsid w:val="14124BFF"/>
    <w:rsid w:val="14685C4C"/>
    <w:rsid w:val="146C0FAF"/>
    <w:rsid w:val="14B52807"/>
    <w:rsid w:val="15BE749A"/>
    <w:rsid w:val="166069FF"/>
    <w:rsid w:val="16AD3796"/>
    <w:rsid w:val="16E00A6F"/>
    <w:rsid w:val="170535D2"/>
    <w:rsid w:val="177D6E9A"/>
    <w:rsid w:val="178009E2"/>
    <w:rsid w:val="187F73B4"/>
    <w:rsid w:val="188A1794"/>
    <w:rsid w:val="18AB01A9"/>
    <w:rsid w:val="18B35CD6"/>
    <w:rsid w:val="193205BB"/>
    <w:rsid w:val="19B27315"/>
    <w:rsid w:val="1A281730"/>
    <w:rsid w:val="1AA81B03"/>
    <w:rsid w:val="1BC577D4"/>
    <w:rsid w:val="1BDB5DD5"/>
    <w:rsid w:val="1C631567"/>
    <w:rsid w:val="1D4D1B4A"/>
    <w:rsid w:val="1D682BE6"/>
    <w:rsid w:val="1E327BAC"/>
    <w:rsid w:val="202C081A"/>
    <w:rsid w:val="21431E03"/>
    <w:rsid w:val="21A32365"/>
    <w:rsid w:val="21A34CEC"/>
    <w:rsid w:val="21D21447"/>
    <w:rsid w:val="2205737E"/>
    <w:rsid w:val="220D3C83"/>
    <w:rsid w:val="226D4721"/>
    <w:rsid w:val="23E13A4F"/>
    <w:rsid w:val="24CC3685"/>
    <w:rsid w:val="271F2F2B"/>
    <w:rsid w:val="273B6B97"/>
    <w:rsid w:val="2751016E"/>
    <w:rsid w:val="27F8683B"/>
    <w:rsid w:val="280C53AB"/>
    <w:rsid w:val="292233EE"/>
    <w:rsid w:val="2A1852B4"/>
    <w:rsid w:val="2A383867"/>
    <w:rsid w:val="2AF43C3D"/>
    <w:rsid w:val="2B2F0BBA"/>
    <w:rsid w:val="2BFC2739"/>
    <w:rsid w:val="2CA7AAEA"/>
    <w:rsid w:val="2CB511F3"/>
    <w:rsid w:val="2CBC2CC9"/>
    <w:rsid w:val="2D7F352C"/>
    <w:rsid w:val="2DB33930"/>
    <w:rsid w:val="2FDE173D"/>
    <w:rsid w:val="2FED84D1"/>
    <w:rsid w:val="301639A1"/>
    <w:rsid w:val="315947EF"/>
    <w:rsid w:val="32AD25E2"/>
    <w:rsid w:val="33076B3D"/>
    <w:rsid w:val="34A435A4"/>
    <w:rsid w:val="35FA196A"/>
    <w:rsid w:val="35FFD4E0"/>
    <w:rsid w:val="36850339"/>
    <w:rsid w:val="379E3C61"/>
    <w:rsid w:val="37BB6CF2"/>
    <w:rsid w:val="37FEFCFD"/>
    <w:rsid w:val="38D04F99"/>
    <w:rsid w:val="38D31DDC"/>
    <w:rsid w:val="38DD88F2"/>
    <w:rsid w:val="39071960"/>
    <w:rsid w:val="3A5D3D02"/>
    <w:rsid w:val="3AF91403"/>
    <w:rsid w:val="3BD553B9"/>
    <w:rsid w:val="3CC7241D"/>
    <w:rsid w:val="3D471A96"/>
    <w:rsid w:val="3D51281E"/>
    <w:rsid w:val="3E4F1778"/>
    <w:rsid w:val="3F9D2485"/>
    <w:rsid w:val="3FAF46F6"/>
    <w:rsid w:val="3FCC76E3"/>
    <w:rsid w:val="401E7C8F"/>
    <w:rsid w:val="40214D11"/>
    <w:rsid w:val="41D212FB"/>
    <w:rsid w:val="41EB0D88"/>
    <w:rsid w:val="43C64079"/>
    <w:rsid w:val="43D85A47"/>
    <w:rsid w:val="44EE71C4"/>
    <w:rsid w:val="45107968"/>
    <w:rsid w:val="45161501"/>
    <w:rsid w:val="453872A6"/>
    <w:rsid w:val="474541F5"/>
    <w:rsid w:val="49FB3CCC"/>
    <w:rsid w:val="4A08529D"/>
    <w:rsid w:val="4A984F54"/>
    <w:rsid w:val="4BDF0DFA"/>
    <w:rsid w:val="4C1C43D8"/>
    <w:rsid w:val="4CB501F8"/>
    <w:rsid w:val="4CB90019"/>
    <w:rsid w:val="4CD837FD"/>
    <w:rsid w:val="4F473A81"/>
    <w:rsid w:val="4F781E4D"/>
    <w:rsid w:val="4F89081E"/>
    <w:rsid w:val="4FCB3FB3"/>
    <w:rsid w:val="4FD00F27"/>
    <w:rsid w:val="50257CE3"/>
    <w:rsid w:val="5064564E"/>
    <w:rsid w:val="51BE1C74"/>
    <w:rsid w:val="522D51B0"/>
    <w:rsid w:val="52B3100D"/>
    <w:rsid w:val="53701F20"/>
    <w:rsid w:val="53AE0CBF"/>
    <w:rsid w:val="53DD8C24"/>
    <w:rsid w:val="5495378B"/>
    <w:rsid w:val="56132307"/>
    <w:rsid w:val="56C02EA4"/>
    <w:rsid w:val="587A5F16"/>
    <w:rsid w:val="59872A02"/>
    <w:rsid w:val="5A2F6DBD"/>
    <w:rsid w:val="5B447B44"/>
    <w:rsid w:val="5C4A1C0B"/>
    <w:rsid w:val="5CB4694A"/>
    <w:rsid w:val="5D520D2C"/>
    <w:rsid w:val="5DFD4487"/>
    <w:rsid w:val="5E0F14DE"/>
    <w:rsid w:val="5EE137D2"/>
    <w:rsid w:val="5EEA25AC"/>
    <w:rsid w:val="5F3B6A53"/>
    <w:rsid w:val="5FC6353D"/>
    <w:rsid w:val="60737012"/>
    <w:rsid w:val="616927D7"/>
    <w:rsid w:val="625B2BEE"/>
    <w:rsid w:val="631B36A0"/>
    <w:rsid w:val="64264155"/>
    <w:rsid w:val="64416899"/>
    <w:rsid w:val="64462599"/>
    <w:rsid w:val="651C3631"/>
    <w:rsid w:val="653F54CE"/>
    <w:rsid w:val="657F3B1C"/>
    <w:rsid w:val="666E5BC1"/>
    <w:rsid w:val="66E31D63"/>
    <w:rsid w:val="675F3C06"/>
    <w:rsid w:val="676DC737"/>
    <w:rsid w:val="696C260A"/>
    <w:rsid w:val="6E251B34"/>
    <w:rsid w:val="6E663ACB"/>
    <w:rsid w:val="6F3DB4CE"/>
    <w:rsid w:val="6F8D32DA"/>
    <w:rsid w:val="6F92269E"/>
    <w:rsid w:val="6FB42178"/>
    <w:rsid w:val="6FB7F4F9"/>
    <w:rsid w:val="700D146B"/>
    <w:rsid w:val="70381498"/>
    <w:rsid w:val="713C0BF3"/>
    <w:rsid w:val="72B56DCF"/>
    <w:rsid w:val="72F53670"/>
    <w:rsid w:val="730D6D2F"/>
    <w:rsid w:val="747C6A7A"/>
    <w:rsid w:val="74CD18E7"/>
    <w:rsid w:val="757500DB"/>
    <w:rsid w:val="757C028F"/>
    <w:rsid w:val="75CA1915"/>
    <w:rsid w:val="768D2711"/>
    <w:rsid w:val="76F738C8"/>
    <w:rsid w:val="777052C7"/>
    <w:rsid w:val="77F74DAD"/>
    <w:rsid w:val="78FF02A8"/>
    <w:rsid w:val="7915769B"/>
    <w:rsid w:val="79CD68EE"/>
    <w:rsid w:val="79E73E73"/>
    <w:rsid w:val="7A3D28DE"/>
    <w:rsid w:val="7AF982B8"/>
    <w:rsid w:val="7B3E36DA"/>
    <w:rsid w:val="7B580C7C"/>
    <w:rsid w:val="7BBF2A6D"/>
    <w:rsid w:val="7BFD0AB5"/>
    <w:rsid w:val="7C3002FE"/>
    <w:rsid w:val="7C3849F3"/>
    <w:rsid w:val="7CE60DA1"/>
    <w:rsid w:val="7D0B76D2"/>
    <w:rsid w:val="7D26059A"/>
    <w:rsid w:val="7D5F6CD5"/>
    <w:rsid w:val="7D8031BA"/>
    <w:rsid w:val="7EF7511C"/>
    <w:rsid w:val="7F7363AB"/>
    <w:rsid w:val="7F775E98"/>
    <w:rsid w:val="7F9B4E86"/>
    <w:rsid w:val="96ED77C2"/>
    <w:rsid w:val="9FFFCA6B"/>
    <w:rsid w:val="A9DF3FAE"/>
    <w:rsid w:val="BD4FEF1E"/>
    <w:rsid w:val="BFF9E895"/>
    <w:rsid w:val="D3FF03D0"/>
    <w:rsid w:val="E8C3572A"/>
    <w:rsid w:val="E9ECAEE5"/>
    <w:rsid w:val="EB97842F"/>
    <w:rsid w:val="EFFBB3FB"/>
    <w:rsid w:val="F1BE6F4E"/>
    <w:rsid w:val="F5CFC211"/>
    <w:rsid w:val="F95D0FE2"/>
    <w:rsid w:val="FFD68A5A"/>
    <w:rsid w:val="FFEF23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unhideWhenUsed/>
    <w:qFormat/>
    <w:uiPriority w:val="0"/>
    <w:pPr>
      <w:keepNext w:val="0"/>
      <w:keepLines w:val="0"/>
      <w:widowControl w:val="0"/>
      <w:suppressLineNumbers w:val="0"/>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宋体" w:hAnsi="宋体" w:eastAsia="宋体" w:cs="宋体"/>
      <w:sz w:val="24"/>
      <w:szCs w:val="24"/>
      <w:lang w:val="en-US" w:eastAsia="en-US" w:bidi="ar-SA"/>
    </w:rPr>
  </w:style>
  <w:style w:type="paragraph" w:styleId="7">
    <w:name w:val="Plain Text"/>
    <w:basedOn w:val="1"/>
    <w:unhideWhenUsed/>
    <w:qFormat/>
    <w:uiPriority w:val="0"/>
    <w:pPr>
      <w:widowControl/>
      <w:spacing w:before="100" w:beforeAutospacing="1" w:after="100" w:afterAutospacing="1"/>
      <w:jc w:val="left"/>
    </w:pPr>
    <w:rPr>
      <w:rFonts w:ascii="宋体" w:hAnsi="宋体"/>
      <w:kern w:val="0"/>
      <w:sz w:val="24"/>
    </w:rPr>
  </w:style>
  <w:style w:type="paragraph" w:styleId="8">
    <w:name w:val="Balloon Text"/>
    <w:basedOn w:val="1"/>
    <w:link w:val="22"/>
    <w:qFormat/>
    <w:uiPriority w:val="0"/>
    <w:rPr>
      <w:sz w:val="18"/>
      <w:szCs w:val="18"/>
    </w:rPr>
  </w:style>
  <w:style w:type="paragraph" w:styleId="9">
    <w:name w:val="footer"/>
    <w:basedOn w:val="1"/>
    <w:link w:val="20"/>
    <w:qFormat/>
    <w:uiPriority w:val="0"/>
    <w:pPr>
      <w:tabs>
        <w:tab w:val="center" w:pos="4153"/>
        <w:tab w:val="right" w:pos="8306"/>
      </w:tabs>
      <w:snapToGrid w:val="0"/>
      <w:jc w:val="left"/>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Autospacing="1" w:afterAutospacing="1"/>
      <w:jc w:val="left"/>
    </w:pPr>
    <w:rPr>
      <w:rFonts w:cs="Times New Roman"/>
      <w:kern w:val="0"/>
      <w:sz w:val="24"/>
    </w:rPr>
  </w:style>
  <w:style w:type="table" w:styleId="1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Hyperlink"/>
    <w:basedOn w:val="15"/>
    <w:qFormat/>
    <w:uiPriority w:val="0"/>
    <w:rPr>
      <w:color w:val="0000FF"/>
      <w:u w:val="single"/>
    </w:rPr>
  </w:style>
  <w:style w:type="paragraph" w:customStyle="1" w:styleId="18">
    <w:name w:val="正文（缩进）"/>
    <w:basedOn w:val="1"/>
    <w:qFormat/>
    <w:uiPriority w:val="0"/>
    <w:pPr>
      <w:spacing w:before="156" w:after="156"/>
      <w:ind w:firstLine="480" w:firstLineChars="200"/>
    </w:pPr>
  </w:style>
  <w:style w:type="character" w:customStyle="1" w:styleId="19">
    <w:name w:val="页眉 字符"/>
    <w:basedOn w:val="15"/>
    <w:link w:val="10"/>
    <w:qFormat/>
    <w:uiPriority w:val="0"/>
    <w:rPr>
      <w:rFonts w:asciiTheme="minorHAnsi" w:hAnsiTheme="minorHAnsi" w:eastAsiaTheme="minorEastAsia" w:cstheme="minorBidi"/>
      <w:kern w:val="2"/>
      <w:sz w:val="18"/>
      <w:szCs w:val="18"/>
    </w:rPr>
  </w:style>
  <w:style w:type="character" w:customStyle="1" w:styleId="20">
    <w:name w:val="页脚 字符"/>
    <w:basedOn w:val="15"/>
    <w:link w:val="9"/>
    <w:qFormat/>
    <w:uiPriority w:val="0"/>
    <w:rPr>
      <w:rFonts w:asciiTheme="minorHAnsi" w:hAnsiTheme="minorHAnsi" w:eastAsiaTheme="minorEastAsia" w:cstheme="minorBidi"/>
      <w:kern w:val="2"/>
      <w:sz w:val="18"/>
      <w:szCs w:val="18"/>
    </w:rPr>
  </w:style>
  <w:style w:type="table" w:customStyle="1" w:styleId="21">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character" w:customStyle="1" w:styleId="22">
    <w:name w:val="批注框文本 字符"/>
    <w:basedOn w:val="15"/>
    <w:link w:val="8"/>
    <w:qFormat/>
    <w:uiPriority w:val="0"/>
    <w:rPr>
      <w:rFonts w:asciiTheme="minorHAnsi" w:hAnsiTheme="minorHAnsi" w:eastAsiaTheme="minorEastAsia" w:cstheme="minorBidi"/>
      <w:kern w:val="2"/>
      <w:sz w:val="18"/>
      <w:szCs w:val="18"/>
    </w:rPr>
  </w:style>
  <w:style w:type="paragraph" w:customStyle="1" w:styleId="23">
    <w:name w:val="Heading2"/>
    <w:basedOn w:val="1"/>
    <w:next w:val="1"/>
    <w:qFormat/>
    <w:uiPriority w:val="99"/>
    <w:pPr>
      <w:ind w:left="110"/>
    </w:pPr>
    <w:rPr>
      <w:rFonts w:ascii="宋体" w:hAnsi="宋体" w:eastAsia="宋体" w:cs="Times New Roman"/>
      <w:sz w:val="62"/>
      <w:szCs w:val="62"/>
    </w:rPr>
  </w:style>
  <w:style w:type="paragraph" w:customStyle="1" w:styleId="24">
    <w:name w:val="Table Text"/>
    <w:basedOn w:val="1"/>
    <w:semiHidden/>
    <w:qFormat/>
    <w:uiPriority w:val="0"/>
    <w:rPr>
      <w:rFonts w:ascii="宋体" w:hAnsi="宋体" w:eastAsia="宋体" w:cs="宋体"/>
      <w:sz w:val="21"/>
      <w:szCs w:val="21"/>
      <w:lang w:val="en-US" w:eastAsia="en-US" w:bidi="ar-SA"/>
    </w:rPr>
  </w:style>
  <w:style w:type="paragraph" w:customStyle="1" w:styleId="25">
    <w:name w:val="Body text|1"/>
    <w:basedOn w:val="1"/>
    <w:qFormat/>
    <w:uiPriority w:val="0"/>
    <w:pPr>
      <w:keepNext w:val="0"/>
      <w:keepLines w:val="0"/>
      <w:widowControl w:val="0"/>
      <w:suppressLineNumbers w:val="0"/>
      <w:spacing w:before="0" w:beforeAutospacing="0" w:after="0" w:afterAutospacing="0" w:line="420" w:lineRule="auto"/>
      <w:ind w:left="0" w:right="0" w:firstLine="400"/>
      <w:jc w:val="left"/>
    </w:pPr>
    <w:rPr>
      <w:rFonts w:hint="eastAsia" w:ascii="宋体" w:hAnsi="宋体" w:eastAsia="宋体" w:cs="宋体"/>
      <w:color w:val="000000"/>
      <w:kern w:val="0"/>
      <w:sz w:val="20"/>
      <w:szCs w:val="20"/>
      <w:lang w:val="en-US" w:eastAsia="zh-CN" w:bidi="ar"/>
    </w:rPr>
  </w:style>
  <w:style w:type="paragraph" w:customStyle="1" w:styleId="26">
    <w:name w:val="正文格式"/>
    <w:basedOn w:val="1"/>
    <w:qFormat/>
    <w:uiPriority w:val="0"/>
    <w:pPr>
      <w:widowControl/>
      <w:adjustRightInd w:val="0"/>
      <w:snapToGrid w:val="0"/>
      <w:spacing w:line="400" w:lineRule="atLeast"/>
      <w:ind w:firstLine="482"/>
      <w:textAlignment w:val="baseline"/>
    </w:pPr>
    <w:rPr>
      <w:kern w:val="0"/>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4CC43-6DB9-4683-A5A3-117B068A79AD}">
  <ds:schemaRefs/>
</ds:datastoreItem>
</file>

<file path=docProps/app.xml><?xml version="1.0" encoding="utf-8"?>
<Properties xmlns="http://schemas.openxmlformats.org/officeDocument/2006/extended-properties" xmlns:vt="http://schemas.openxmlformats.org/officeDocument/2006/docPropsVTypes">
  <Company>HP</Company>
  <Pages>42</Pages>
  <Words>3618</Words>
  <Characters>3733</Characters>
  <Lines>83</Lines>
  <Paragraphs>23</Paragraphs>
  <TotalTime>5</TotalTime>
  <ScaleCrop>false</ScaleCrop>
  <LinksUpToDate>false</LinksUpToDate>
  <CharactersWithSpaces>3739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2023-07-02T22:43:00Z</dcterms:created>
  <dc:creator>Lenovo</dc:creator>
  <cp:lastModifiedBy>Faith</cp:lastModifiedBy>
  <cp:lastPrinted>2023-08-31T03:20:00Z</cp:lastPrinted>
  <dcterms:modified xsi:type="dcterms:W3CDTF">2025-09-15T09:20:15Z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3372AF39B3CE4E85A34EFDF29705F55D_13</vt:lpwstr>
  </property>
  <property fmtid="{D5CDD505-2E9C-101B-9397-08002B2CF9AE}" pid="4" name="KSOTemplateDocerSaveRecord">
    <vt:lpwstr>eyJoZGlkIjoiZmRiZTdhOTU5MDJiNGNjNDZhZDljZjBmZTIwNzQyZDMiLCJ1c2VySWQiOiI3MzcyMTc0NDAifQ==</vt:lpwstr>
  </property>
</Properties>
</file>