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6D640D">
      <w:pPr>
        <w:adjustRightInd w:val="0"/>
        <w:snapToGrid w:val="0"/>
        <w:spacing w:line="480" w:lineRule="exact"/>
        <w:jc w:val="center"/>
        <w:rPr>
          <w:rFonts w:ascii="方正小标宋简体" w:hAnsi="方正小标宋简体" w:eastAsia="方正小标宋简体" w:cs="方正小标宋简体"/>
          <w:bCs/>
          <w:sz w:val="44"/>
          <w:szCs w:val="44"/>
        </w:rPr>
      </w:pPr>
      <w:bookmarkStart w:id="0" w:name="_Toc24152"/>
      <w:bookmarkStart w:id="1" w:name="_Toc26808"/>
      <w:r>
        <w:rPr>
          <w:rFonts w:hint="eastAsia" w:ascii="方正小标宋简体" w:hAnsi="方正小标宋简体" w:eastAsia="方正小标宋简体" w:cs="方正小标宋简体"/>
          <w:bCs/>
          <w:sz w:val="44"/>
          <w:szCs w:val="44"/>
          <w:lang w:val="en-US" w:eastAsia="zh-CN"/>
        </w:rPr>
        <w:t>新能源汽车技术</w:t>
      </w:r>
      <w:r>
        <w:rPr>
          <w:rFonts w:hint="eastAsia" w:ascii="方正小标宋简体" w:hAnsi="方正小标宋简体" w:eastAsia="方正小标宋简体" w:cs="方正小标宋简体"/>
          <w:bCs/>
          <w:sz w:val="44"/>
          <w:szCs w:val="44"/>
        </w:rPr>
        <w:t>专科专业人才培养方案</w:t>
      </w:r>
      <w:bookmarkEnd w:id="0"/>
      <w:bookmarkEnd w:id="1"/>
    </w:p>
    <w:p w14:paraId="11B36196">
      <w:pPr>
        <w:pStyle w:val="16"/>
        <w:keepNext w:val="0"/>
        <w:keepLines w:val="0"/>
        <w:pageBreakBefore w:val="0"/>
        <w:wordWrap/>
        <w:topLinePunct w:val="0"/>
        <w:bidi w:val="0"/>
        <w:spacing w:before="0" w:after="0" w:line="400" w:lineRule="exact"/>
        <w:ind w:left="0" w:right="0" w:firstLine="420"/>
      </w:pPr>
      <w:bookmarkStart w:id="2" w:name="_Toc6388"/>
    </w:p>
    <w:p w14:paraId="33C63AE1">
      <w:pPr>
        <w:keepNext w:val="0"/>
        <w:keepLines w:val="0"/>
        <w:pageBreakBefore w:val="0"/>
        <w:wordWrap/>
        <w:topLinePunct w:val="0"/>
        <w:bidi w:val="0"/>
        <w:adjustRightInd w:val="0"/>
        <w:snapToGrid w:val="0"/>
        <w:spacing w:line="400" w:lineRule="exact"/>
        <w:ind w:left="0" w:right="0" w:firstLine="480" w:firstLineChars="200"/>
        <w:rPr>
          <w:rFonts w:ascii="黑体" w:hAnsi="黑体" w:eastAsia="黑体" w:cs="黑体"/>
          <w:bCs/>
          <w:sz w:val="24"/>
        </w:rPr>
      </w:pPr>
      <w:r>
        <w:rPr>
          <w:rFonts w:hint="eastAsia" w:ascii="黑体" w:hAnsi="黑体" w:eastAsia="黑体" w:cs="黑体"/>
          <w:bCs/>
          <w:sz w:val="24"/>
        </w:rPr>
        <w:t>一、专业代码与名称</w:t>
      </w:r>
      <w:bookmarkEnd w:id="2"/>
    </w:p>
    <w:p w14:paraId="70367708">
      <w:pPr>
        <w:keepNext w:val="0"/>
        <w:keepLines w:val="0"/>
        <w:pageBreakBefore w:val="0"/>
        <w:wordWrap/>
        <w:topLinePunct w:val="0"/>
        <w:bidi w:val="0"/>
        <w:adjustRightInd w:val="0"/>
        <w:snapToGrid w:val="0"/>
        <w:spacing w:line="400" w:lineRule="exact"/>
        <w:ind w:left="0" w:right="0"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1.</w:t>
      </w:r>
      <w:r>
        <w:rPr>
          <w:rFonts w:hint="eastAsia" w:ascii="宋体" w:hAnsi="宋体" w:eastAsia="宋体" w:cs="宋体"/>
          <w:bCs/>
          <w:szCs w:val="21"/>
        </w:rPr>
        <w:t>专业代码：</w:t>
      </w:r>
      <w:r>
        <w:rPr>
          <w:rFonts w:hint="eastAsia" w:ascii="宋体" w:hAnsi="宋体" w:eastAsia="宋体" w:cs="宋体"/>
          <w:bCs/>
          <w:szCs w:val="21"/>
          <w:lang w:val="en-US" w:eastAsia="zh-CN"/>
        </w:rPr>
        <w:t>460702</w:t>
      </w:r>
    </w:p>
    <w:p w14:paraId="127F23BA">
      <w:pPr>
        <w:keepNext w:val="0"/>
        <w:keepLines w:val="0"/>
        <w:pageBreakBefore w:val="0"/>
        <w:wordWrap/>
        <w:topLinePunct w:val="0"/>
        <w:bidi w:val="0"/>
        <w:adjustRightInd w:val="0"/>
        <w:snapToGrid w:val="0"/>
        <w:spacing w:line="400" w:lineRule="exact"/>
        <w:ind w:left="0" w:right="0" w:firstLine="420" w:firstLineChars="200"/>
        <w:rPr>
          <w:rFonts w:hint="default" w:ascii="宋体" w:hAnsi="宋体" w:eastAsia="宋体" w:cs="宋体"/>
          <w:bCs/>
          <w:szCs w:val="21"/>
          <w:lang w:val="en-US" w:eastAsia="zh-CN"/>
        </w:rPr>
      </w:pPr>
      <w:r>
        <w:rPr>
          <w:rFonts w:hint="eastAsia" w:ascii="宋体" w:hAnsi="宋体" w:eastAsia="宋体" w:cs="宋体"/>
          <w:bCs/>
          <w:szCs w:val="21"/>
          <w:lang w:val="en-US" w:eastAsia="zh-CN"/>
        </w:rPr>
        <w:t>2.</w:t>
      </w:r>
      <w:r>
        <w:rPr>
          <w:rFonts w:hint="eastAsia" w:ascii="宋体" w:hAnsi="宋体" w:eastAsia="宋体" w:cs="宋体"/>
          <w:bCs/>
          <w:szCs w:val="21"/>
        </w:rPr>
        <w:t>专业名称：</w:t>
      </w:r>
      <w:r>
        <w:rPr>
          <w:rFonts w:hint="eastAsia" w:ascii="宋体" w:hAnsi="宋体" w:eastAsia="宋体" w:cs="宋体"/>
          <w:bCs/>
          <w:szCs w:val="21"/>
          <w:lang w:val="en-US" w:eastAsia="zh-CN"/>
        </w:rPr>
        <w:t>新能源汽车技术</w:t>
      </w:r>
    </w:p>
    <w:p w14:paraId="2521906C">
      <w:pPr>
        <w:keepNext w:val="0"/>
        <w:keepLines w:val="0"/>
        <w:pageBreakBefore w:val="0"/>
        <w:wordWrap/>
        <w:topLinePunct w:val="0"/>
        <w:bidi w:val="0"/>
        <w:adjustRightInd w:val="0"/>
        <w:snapToGrid w:val="0"/>
        <w:spacing w:line="400" w:lineRule="exact"/>
        <w:ind w:left="0" w:right="0" w:firstLine="480" w:firstLineChars="200"/>
        <w:rPr>
          <w:rFonts w:ascii="黑体" w:hAnsi="黑体" w:eastAsia="黑体" w:cs="黑体"/>
          <w:bCs/>
          <w:sz w:val="24"/>
        </w:rPr>
      </w:pPr>
      <w:bookmarkStart w:id="3" w:name="_Toc3685"/>
      <w:r>
        <w:rPr>
          <w:rFonts w:hint="eastAsia" w:ascii="黑体" w:hAnsi="黑体" w:eastAsia="黑体" w:cs="黑体"/>
          <w:bCs/>
          <w:sz w:val="24"/>
        </w:rPr>
        <w:t>二、教育类型及学历层次</w:t>
      </w:r>
      <w:bookmarkEnd w:id="3"/>
    </w:p>
    <w:p w14:paraId="24644CEB">
      <w:pPr>
        <w:keepNext w:val="0"/>
        <w:keepLines w:val="0"/>
        <w:pageBreakBefore w:val="0"/>
        <w:wordWrap/>
        <w:topLinePunct w:val="0"/>
        <w:bidi w:val="0"/>
        <w:adjustRightInd w:val="0"/>
        <w:snapToGrid w:val="0"/>
        <w:spacing w:line="400" w:lineRule="exact"/>
        <w:ind w:left="0" w:right="0"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教育类型：高等职业教育</w:t>
      </w:r>
    </w:p>
    <w:p w14:paraId="7BA71B06">
      <w:pPr>
        <w:keepNext w:val="0"/>
        <w:keepLines w:val="0"/>
        <w:pageBreakBefore w:val="0"/>
        <w:wordWrap/>
        <w:topLinePunct w:val="0"/>
        <w:bidi w:val="0"/>
        <w:adjustRightInd w:val="0"/>
        <w:snapToGrid w:val="0"/>
        <w:spacing w:line="400" w:lineRule="exact"/>
        <w:ind w:left="0" w:right="0" w:firstLine="420" w:firstLineChars="200"/>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学历层次：</w:t>
      </w:r>
      <w:r>
        <w:rPr>
          <w:rFonts w:hint="eastAsia" w:ascii="宋体" w:hAnsi="宋体" w:eastAsia="宋体" w:cs="宋体"/>
          <w:bCs/>
          <w:szCs w:val="21"/>
          <w:lang w:val="en-US" w:eastAsia="zh-CN"/>
        </w:rPr>
        <w:t>专科</w:t>
      </w:r>
    </w:p>
    <w:p w14:paraId="61B628F1">
      <w:pPr>
        <w:keepNext w:val="0"/>
        <w:keepLines w:val="0"/>
        <w:pageBreakBefore w:val="0"/>
        <w:wordWrap/>
        <w:topLinePunct w:val="0"/>
        <w:bidi w:val="0"/>
        <w:adjustRightInd w:val="0"/>
        <w:snapToGrid w:val="0"/>
        <w:spacing w:line="400" w:lineRule="exact"/>
        <w:ind w:left="0" w:right="0" w:firstLine="480" w:firstLineChars="200"/>
        <w:rPr>
          <w:rFonts w:ascii="黑体" w:hAnsi="黑体" w:eastAsia="黑体" w:cs="黑体"/>
          <w:bCs/>
          <w:sz w:val="24"/>
        </w:rPr>
      </w:pPr>
      <w:bookmarkStart w:id="4" w:name="_Toc30608"/>
      <w:r>
        <w:rPr>
          <w:rFonts w:hint="eastAsia" w:ascii="黑体" w:hAnsi="黑体" w:eastAsia="黑体" w:cs="黑体"/>
          <w:bCs/>
          <w:sz w:val="24"/>
        </w:rPr>
        <w:t>三、招生对象、学制及学习形式</w:t>
      </w:r>
      <w:bookmarkEnd w:id="4"/>
    </w:p>
    <w:p w14:paraId="2714FE24">
      <w:pPr>
        <w:keepNext w:val="0"/>
        <w:keepLines w:val="0"/>
        <w:pageBreakBefore w:val="0"/>
        <w:wordWrap/>
        <w:topLinePunct w:val="0"/>
        <w:bidi w:val="0"/>
        <w:adjustRightInd w:val="0"/>
        <w:snapToGrid w:val="0"/>
        <w:spacing w:line="400" w:lineRule="exact"/>
        <w:ind w:left="0" w:right="0" w:firstLine="420" w:firstLineChars="200"/>
        <w:rPr>
          <w:rFonts w:ascii="宋体" w:hAnsi="宋体" w:eastAsia="宋体" w:cs="宋体"/>
          <w:bCs/>
          <w:szCs w:val="21"/>
        </w:rPr>
      </w:pPr>
      <w:r>
        <w:rPr>
          <w:rFonts w:hint="eastAsia" w:ascii="宋体" w:hAnsi="宋体" w:eastAsia="宋体" w:cs="宋体"/>
          <w:bCs/>
          <w:szCs w:val="21"/>
          <w:lang w:val="en-US" w:eastAsia="zh-CN"/>
        </w:rPr>
        <w:t>1.</w:t>
      </w:r>
      <w:r>
        <w:rPr>
          <w:rFonts w:hint="eastAsia" w:ascii="宋体" w:hAnsi="宋体" w:eastAsia="宋体" w:cs="宋体"/>
          <w:bCs/>
          <w:szCs w:val="21"/>
        </w:rPr>
        <w:t>招收对象：高中阶段教育毕业生或具有同等学力者</w:t>
      </w:r>
    </w:p>
    <w:p w14:paraId="0EDDBB30">
      <w:pPr>
        <w:keepNext w:val="0"/>
        <w:keepLines w:val="0"/>
        <w:pageBreakBefore w:val="0"/>
        <w:wordWrap/>
        <w:topLinePunct w:val="0"/>
        <w:bidi w:val="0"/>
        <w:adjustRightInd w:val="0"/>
        <w:snapToGrid w:val="0"/>
        <w:spacing w:line="400" w:lineRule="exact"/>
        <w:ind w:left="0" w:right="0" w:firstLine="420" w:firstLineChars="200"/>
        <w:rPr>
          <w:rFonts w:ascii="宋体" w:hAnsi="宋体" w:eastAsia="宋体" w:cs="宋体"/>
          <w:bCs/>
          <w:szCs w:val="21"/>
        </w:rPr>
      </w:pPr>
      <w:r>
        <w:rPr>
          <w:rFonts w:hint="eastAsia" w:ascii="宋体" w:hAnsi="宋体" w:eastAsia="宋体" w:cs="宋体"/>
          <w:bCs/>
          <w:szCs w:val="21"/>
          <w:lang w:val="en-US" w:eastAsia="zh-CN"/>
        </w:rPr>
        <w:t>2.</w:t>
      </w:r>
      <w:r>
        <w:rPr>
          <w:rFonts w:hint="eastAsia" w:ascii="宋体" w:hAnsi="宋体" w:eastAsia="宋体" w:cs="宋体"/>
          <w:bCs/>
          <w:szCs w:val="21"/>
        </w:rPr>
        <w:t>学制：基本学制3年,弹性学制3-5年</w:t>
      </w:r>
    </w:p>
    <w:p w14:paraId="5F91B016">
      <w:pPr>
        <w:keepNext w:val="0"/>
        <w:keepLines w:val="0"/>
        <w:pageBreakBefore w:val="0"/>
        <w:wordWrap/>
        <w:topLinePunct w:val="0"/>
        <w:bidi w:val="0"/>
        <w:adjustRightInd w:val="0"/>
        <w:snapToGrid w:val="0"/>
        <w:spacing w:line="400" w:lineRule="exact"/>
        <w:ind w:left="0" w:right="0" w:firstLine="420" w:firstLineChars="200"/>
        <w:rPr>
          <w:rFonts w:ascii="宋体" w:hAnsi="宋体" w:eastAsia="宋体" w:cs="宋体"/>
          <w:bCs/>
          <w:szCs w:val="21"/>
        </w:rPr>
      </w:pPr>
      <w:r>
        <w:rPr>
          <w:rFonts w:hint="eastAsia" w:ascii="宋体" w:hAnsi="宋体" w:eastAsia="宋体" w:cs="宋体"/>
          <w:bCs/>
          <w:szCs w:val="21"/>
          <w:lang w:val="en-US" w:eastAsia="zh-CN"/>
        </w:rPr>
        <w:t>3.</w:t>
      </w:r>
      <w:r>
        <w:rPr>
          <w:rFonts w:hint="eastAsia" w:ascii="宋体" w:hAnsi="宋体" w:eastAsia="宋体" w:cs="宋体"/>
          <w:bCs/>
          <w:szCs w:val="21"/>
        </w:rPr>
        <w:t>学习形式：全日制</w:t>
      </w:r>
    </w:p>
    <w:p w14:paraId="6F7BD85A">
      <w:pPr>
        <w:keepNext w:val="0"/>
        <w:keepLines w:val="0"/>
        <w:pageBreakBefore w:val="0"/>
        <w:wordWrap/>
        <w:topLinePunct w:val="0"/>
        <w:bidi w:val="0"/>
        <w:adjustRightInd w:val="0"/>
        <w:snapToGrid w:val="0"/>
        <w:spacing w:line="400" w:lineRule="exact"/>
        <w:ind w:left="0" w:right="0" w:firstLine="480" w:firstLineChars="200"/>
        <w:rPr>
          <w:rFonts w:hint="default" w:ascii="黑体" w:hAnsi="黑体" w:eastAsia="黑体" w:cs="黑体"/>
          <w:bCs/>
          <w:sz w:val="24"/>
          <w:lang w:val="en-US" w:eastAsia="zh-CN"/>
        </w:rPr>
      </w:pPr>
      <w:r>
        <w:rPr>
          <w:rFonts w:hint="eastAsia" w:ascii="黑体" w:hAnsi="黑体" w:eastAsia="黑体" w:cs="黑体"/>
          <w:bCs/>
          <w:sz w:val="24"/>
        </w:rPr>
        <w:t>四、职业面向</w:t>
      </w:r>
      <w:r>
        <w:rPr>
          <w:rFonts w:hint="eastAsia" w:ascii="黑体" w:hAnsi="黑体" w:eastAsia="黑体" w:cs="黑体"/>
          <w:bCs/>
          <w:sz w:val="24"/>
          <w:lang w:val="en-US" w:eastAsia="zh-CN"/>
        </w:rPr>
        <w:t>及发展路径</w:t>
      </w:r>
    </w:p>
    <w:p w14:paraId="3D90C7CB">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（一）毕业生职业面向</w:t>
      </w:r>
    </w:p>
    <w:p w14:paraId="745066AA">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表1毕业生职业面向表</w:t>
      </w:r>
    </w:p>
    <w:tbl>
      <w:tblPr>
        <w:tblStyle w:val="12"/>
        <w:tblW w:w="89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76"/>
        <w:gridCol w:w="1134"/>
        <w:gridCol w:w="2050"/>
        <w:gridCol w:w="1530"/>
        <w:gridCol w:w="1599"/>
      </w:tblGrid>
      <w:tr w14:paraId="68C92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jc w:val="center"/>
        </w:trPr>
        <w:tc>
          <w:tcPr>
            <w:tcW w:w="1384" w:type="dxa"/>
            <w:vAlign w:val="center"/>
          </w:tcPr>
          <w:p w14:paraId="09CA0DBD">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5" w:name="_Toc3015"/>
            <w:r>
              <w:rPr>
                <w:rFonts w:hint="eastAsia" w:ascii="Times New Roman" w:hAnsi="Times New Roman" w:eastAsia="黑体" w:cs="Times New Roman"/>
                <w:b w:val="0"/>
                <w:bCs/>
                <w:color w:val="auto"/>
                <w:sz w:val="18"/>
                <w:szCs w:val="18"/>
                <w:lang w:val="en-US" w:eastAsia="zh-CN"/>
              </w:rPr>
              <w:t>所属</w:t>
            </w:r>
          </w:p>
          <w:p w14:paraId="3441BD4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专业大类</w:t>
            </w:r>
            <w:bookmarkEnd w:id="5"/>
          </w:p>
          <w:p w14:paraId="6329101F">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6" w:name="_Toc7017"/>
            <w:r>
              <w:rPr>
                <w:rFonts w:hint="eastAsia" w:ascii="Times New Roman" w:hAnsi="Times New Roman" w:eastAsia="黑体" w:cs="Times New Roman"/>
                <w:b w:val="0"/>
                <w:bCs/>
                <w:color w:val="auto"/>
                <w:sz w:val="18"/>
                <w:szCs w:val="18"/>
                <w:lang w:val="en-US" w:eastAsia="zh-CN"/>
              </w:rPr>
              <w:t>（代码）</w:t>
            </w:r>
            <w:bookmarkEnd w:id="6"/>
          </w:p>
        </w:tc>
        <w:tc>
          <w:tcPr>
            <w:tcW w:w="1276" w:type="dxa"/>
            <w:vAlign w:val="center"/>
          </w:tcPr>
          <w:p w14:paraId="2325F43F">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7" w:name="_Toc5468"/>
            <w:r>
              <w:rPr>
                <w:rFonts w:hint="eastAsia" w:ascii="Times New Roman" w:hAnsi="Times New Roman" w:eastAsia="黑体" w:cs="Times New Roman"/>
                <w:b w:val="0"/>
                <w:bCs/>
                <w:color w:val="auto"/>
                <w:sz w:val="18"/>
                <w:szCs w:val="18"/>
                <w:lang w:val="en-US" w:eastAsia="zh-CN"/>
              </w:rPr>
              <w:t>所属</w:t>
            </w:r>
          </w:p>
          <w:p w14:paraId="266BCFC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专业类</w:t>
            </w:r>
            <w:bookmarkEnd w:id="7"/>
          </w:p>
          <w:p w14:paraId="20B4735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8" w:name="_Toc17385"/>
            <w:r>
              <w:rPr>
                <w:rFonts w:hint="eastAsia" w:ascii="Times New Roman" w:hAnsi="Times New Roman" w:eastAsia="黑体" w:cs="Times New Roman"/>
                <w:b w:val="0"/>
                <w:bCs/>
                <w:color w:val="auto"/>
                <w:sz w:val="18"/>
                <w:szCs w:val="18"/>
                <w:lang w:val="en-US" w:eastAsia="zh-CN"/>
              </w:rPr>
              <w:t>（代码）</w:t>
            </w:r>
            <w:bookmarkEnd w:id="8"/>
          </w:p>
        </w:tc>
        <w:tc>
          <w:tcPr>
            <w:tcW w:w="1134" w:type="dxa"/>
            <w:vAlign w:val="center"/>
          </w:tcPr>
          <w:p w14:paraId="4A5CBD9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9" w:name="_Toc24132"/>
            <w:r>
              <w:rPr>
                <w:rFonts w:hint="eastAsia" w:ascii="Times New Roman" w:hAnsi="Times New Roman" w:eastAsia="黑体" w:cs="Times New Roman"/>
                <w:b w:val="0"/>
                <w:bCs/>
                <w:color w:val="auto"/>
                <w:sz w:val="18"/>
                <w:szCs w:val="18"/>
                <w:lang w:val="en-US" w:eastAsia="zh-CN"/>
              </w:rPr>
              <w:t>对应行业</w:t>
            </w:r>
            <w:bookmarkEnd w:id="9"/>
          </w:p>
          <w:p w14:paraId="33D0A4F9">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10" w:name="_Toc27551"/>
            <w:r>
              <w:rPr>
                <w:rFonts w:hint="eastAsia" w:ascii="Times New Roman" w:hAnsi="Times New Roman" w:eastAsia="黑体" w:cs="Times New Roman"/>
                <w:b w:val="0"/>
                <w:bCs/>
                <w:color w:val="auto"/>
                <w:sz w:val="18"/>
                <w:szCs w:val="18"/>
                <w:lang w:val="en-US" w:eastAsia="zh-CN"/>
              </w:rPr>
              <w:t>（代码）</w:t>
            </w:r>
            <w:bookmarkEnd w:id="10"/>
          </w:p>
        </w:tc>
        <w:tc>
          <w:tcPr>
            <w:tcW w:w="2050" w:type="dxa"/>
            <w:vAlign w:val="center"/>
          </w:tcPr>
          <w:p w14:paraId="04C971E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11" w:name="_Toc758"/>
            <w:r>
              <w:rPr>
                <w:rFonts w:hint="eastAsia" w:ascii="Times New Roman" w:hAnsi="Times New Roman" w:eastAsia="黑体" w:cs="Times New Roman"/>
                <w:b w:val="0"/>
                <w:bCs/>
                <w:color w:val="auto"/>
                <w:sz w:val="18"/>
                <w:szCs w:val="18"/>
                <w:lang w:val="en-US" w:eastAsia="zh-CN"/>
              </w:rPr>
              <w:t>主要职业类别</w:t>
            </w:r>
            <w:bookmarkEnd w:id="11"/>
          </w:p>
          <w:p w14:paraId="598F44C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12" w:name="_Toc16554"/>
            <w:r>
              <w:rPr>
                <w:rFonts w:hint="eastAsia" w:ascii="Times New Roman" w:hAnsi="Times New Roman" w:eastAsia="黑体" w:cs="Times New Roman"/>
                <w:b w:val="0"/>
                <w:bCs/>
                <w:color w:val="auto"/>
                <w:sz w:val="18"/>
                <w:szCs w:val="18"/>
                <w:lang w:val="en-US" w:eastAsia="zh-CN"/>
              </w:rPr>
              <w:t>（代码）</w:t>
            </w:r>
            <w:bookmarkEnd w:id="12"/>
          </w:p>
        </w:tc>
        <w:tc>
          <w:tcPr>
            <w:tcW w:w="1530" w:type="dxa"/>
            <w:vAlign w:val="center"/>
          </w:tcPr>
          <w:p w14:paraId="340E69BF">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13" w:name="_Toc30357"/>
            <w:r>
              <w:rPr>
                <w:rFonts w:hint="eastAsia" w:ascii="Times New Roman" w:hAnsi="Times New Roman" w:eastAsia="黑体" w:cs="Times New Roman"/>
                <w:b w:val="0"/>
                <w:bCs/>
                <w:color w:val="auto"/>
                <w:sz w:val="18"/>
                <w:szCs w:val="18"/>
                <w:lang w:val="en-US" w:eastAsia="zh-CN"/>
              </w:rPr>
              <w:t>主要岗位群或技术领域</w:t>
            </w:r>
            <w:bookmarkEnd w:id="13"/>
          </w:p>
        </w:tc>
        <w:tc>
          <w:tcPr>
            <w:tcW w:w="1599" w:type="dxa"/>
            <w:vAlign w:val="center"/>
          </w:tcPr>
          <w:p w14:paraId="0740F57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bookmarkStart w:id="14" w:name="_Toc22834"/>
            <w:r>
              <w:rPr>
                <w:rFonts w:hint="eastAsia" w:ascii="Times New Roman" w:hAnsi="Times New Roman" w:eastAsia="黑体" w:cs="Times New Roman"/>
                <w:b w:val="0"/>
                <w:bCs/>
                <w:color w:val="auto"/>
                <w:sz w:val="18"/>
                <w:szCs w:val="18"/>
                <w:lang w:val="en-US" w:eastAsia="zh-CN"/>
              </w:rPr>
              <w:t>职业资格证书和职业技能等级证书举例</w:t>
            </w:r>
            <w:bookmarkEnd w:id="14"/>
          </w:p>
        </w:tc>
      </w:tr>
      <w:tr w14:paraId="0CC6C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1384" w:type="dxa"/>
            <w:vAlign w:val="center"/>
          </w:tcPr>
          <w:p w14:paraId="75124CCA">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装备制造</w:t>
            </w:r>
            <w:r>
              <w:rPr>
                <w:rFonts w:hint="eastAsia" w:ascii="宋体" w:hAnsi="宋体" w:eastAsia="宋体" w:cs="Times New Roman"/>
                <w:kern w:val="0"/>
                <w:sz w:val="18"/>
                <w:szCs w:val="18"/>
              </w:rPr>
              <w:t>大类</w:t>
            </w:r>
          </w:p>
          <w:p w14:paraId="2C8DAD9D">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rPr>
              <w:t>（</w:t>
            </w:r>
            <w:r>
              <w:rPr>
                <w:rFonts w:hint="eastAsia" w:ascii="宋体" w:hAnsi="宋体" w:eastAsia="宋体" w:cs="Times New Roman"/>
                <w:kern w:val="0"/>
                <w:sz w:val="18"/>
                <w:szCs w:val="18"/>
                <w:lang w:val="en-US" w:eastAsia="zh-CN"/>
              </w:rPr>
              <w:t>46</w:t>
            </w:r>
            <w:r>
              <w:rPr>
                <w:rFonts w:hint="eastAsia" w:ascii="宋体" w:hAnsi="宋体" w:eastAsia="宋体" w:cs="Times New Roman"/>
                <w:kern w:val="0"/>
                <w:sz w:val="18"/>
                <w:szCs w:val="18"/>
              </w:rPr>
              <w:t>）</w:t>
            </w:r>
          </w:p>
        </w:tc>
        <w:tc>
          <w:tcPr>
            <w:tcW w:w="1276" w:type="dxa"/>
            <w:vAlign w:val="center"/>
          </w:tcPr>
          <w:p w14:paraId="0FC8DD58">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汽车制造</w:t>
            </w:r>
            <w:r>
              <w:rPr>
                <w:rFonts w:hint="eastAsia" w:ascii="宋体" w:hAnsi="宋体" w:eastAsia="宋体" w:cs="Times New Roman"/>
                <w:kern w:val="0"/>
                <w:sz w:val="18"/>
                <w:szCs w:val="18"/>
              </w:rPr>
              <w:t>类</w:t>
            </w:r>
          </w:p>
          <w:p w14:paraId="2F85CF89">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rPr>
              <w:t>（</w:t>
            </w:r>
            <w:r>
              <w:rPr>
                <w:rFonts w:hint="eastAsia" w:ascii="宋体" w:hAnsi="宋体" w:eastAsia="宋体" w:cs="Times New Roman"/>
                <w:kern w:val="0"/>
                <w:sz w:val="18"/>
                <w:szCs w:val="18"/>
                <w:lang w:val="en-US" w:eastAsia="zh-CN"/>
              </w:rPr>
              <w:t>4607</w:t>
            </w:r>
            <w:r>
              <w:rPr>
                <w:rFonts w:hint="eastAsia" w:ascii="宋体" w:hAnsi="宋体" w:eastAsia="宋体" w:cs="Times New Roman"/>
                <w:kern w:val="0"/>
                <w:sz w:val="18"/>
                <w:szCs w:val="18"/>
              </w:rPr>
              <w:t>）</w:t>
            </w:r>
          </w:p>
        </w:tc>
        <w:tc>
          <w:tcPr>
            <w:tcW w:w="1134" w:type="dxa"/>
            <w:vAlign w:val="center"/>
          </w:tcPr>
          <w:p w14:paraId="2CF8AEDF">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新能源整车制造</w:t>
            </w:r>
            <w:r>
              <w:rPr>
                <w:rFonts w:hint="eastAsia" w:ascii="宋体" w:hAnsi="宋体" w:eastAsia="宋体" w:cs="Times New Roman"/>
                <w:kern w:val="0"/>
                <w:sz w:val="18"/>
                <w:szCs w:val="18"/>
              </w:rPr>
              <w:t>（</w:t>
            </w:r>
            <w:r>
              <w:rPr>
                <w:rFonts w:hint="eastAsia" w:ascii="宋体" w:hAnsi="宋体" w:eastAsia="宋体" w:cs="Times New Roman"/>
                <w:kern w:val="0"/>
                <w:sz w:val="18"/>
                <w:szCs w:val="18"/>
                <w:lang w:val="en-US" w:eastAsia="zh-CN"/>
              </w:rPr>
              <w:t>3612</w:t>
            </w:r>
            <w:r>
              <w:rPr>
                <w:rFonts w:hint="eastAsia" w:ascii="宋体" w:hAnsi="宋体" w:eastAsia="宋体" w:cs="Times New Roman"/>
                <w:kern w:val="0"/>
                <w:sz w:val="18"/>
                <w:szCs w:val="18"/>
              </w:rPr>
              <w:t>）</w:t>
            </w:r>
          </w:p>
          <w:p w14:paraId="09ABE960">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汽车修理与维护</w:t>
            </w:r>
            <w:r>
              <w:rPr>
                <w:rFonts w:hint="eastAsia" w:ascii="宋体" w:hAnsi="宋体" w:eastAsia="宋体" w:cs="Times New Roman"/>
                <w:kern w:val="0"/>
                <w:sz w:val="18"/>
                <w:szCs w:val="18"/>
              </w:rPr>
              <w:t>（</w:t>
            </w:r>
            <w:r>
              <w:rPr>
                <w:rFonts w:hint="eastAsia" w:ascii="宋体" w:hAnsi="宋体" w:eastAsia="宋体" w:cs="Times New Roman"/>
                <w:kern w:val="0"/>
                <w:sz w:val="18"/>
                <w:szCs w:val="18"/>
                <w:lang w:val="en-US" w:eastAsia="zh-CN"/>
              </w:rPr>
              <w:t>8111</w:t>
            </w:r>
            <w:r>
              <w:rPr>
                <w:rFonts w:hint="eastAsia" w:ascii="宋体" w:hAnsi="宋体" w:eastAsia="宋体" w:cs="Times New Roman"/>
                <w:kern w:val="0"/>
                <w:sz w:val="18"/>
                <w:szCs w:val="18"/>
              </w:rPr>
              <w:t>）</w:t>
            </w:r>
          </w:p>
        </w:tc>
        <w:tc>
          <w:tcPr>
            <w:tcW w:w="2050" w:type="dxa"/>
            <w:vAlign w:val="center"/>
          </w:tcPr>
          <w:p w14:paraId="51284602">
            <w:pPr>
              <w:keepNext w:val="0"/>
              <w:keepLines w:val="0"/>
              <w:pageBreakBefore w:val="0"/>
              <w:widowControl/>
              <w:wordWrap/>
              <w:topLinePunct w:val="0"/>
              <w:bidi w:val="0"/>
              <w:adjustRightInd w:val="0"/>
              <w:snapToGrid w:val="0"/>
              <w:spacing w:line="240" w:lineRule="auto"/>
              <w:ind w:left="0" w:right="0"/>
              <w:jc w:val="center"/>
              <w:rPr>
                <w:rFonts w:hint="eastAsia"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汽车工程技术人员（2-02-07-11）</w:t>
            </w:r>
          </w:p>
          <w:p w14:paraId="1B46FC3D">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汽车整车制造</w:t>
            </w:r>
            <w:r>
              <w:rPr>
                <w:rFonts w:hint="eastAsia" w:ascii="宋体" w:hAnsi="宋体" w:eastAsia="宋体" w:cs="Times New Roman"/>
                <w:kern w:val="0"/>
                <w:sz w:val="18"/>
                <w:szCs w:val="18"/>
              </w:rPr>
              <w:t>人员（</w:t>
            </w:r>
            <w:r>
              <w:rPr>
                <w:rFonts w:hint="eastAsia" w:ascii="宋体" w:hAnsi="宋体" w:eastAsia="宋体" w:cs="Times New Roman"/>
                <w:kern w:val="0"/>
                <w:sz w:val="18"/>
                <w:szCs w:val="18"/>
                <w:lang w:val="en-US" w:eastAsia="zh-CN"/>
              </w:rPr>
              <w:t>6</w:t>
            </w:r>
            <w:r>
              <w:rPr>
                <w:rFonts w:hint="eastAsia" w:ascii="宋体" w:hAnsi="宋体" w:eastAsia="宋体" w:cs="Times New Roman"/>
                <w:kern w:val="0"/>
                <w:sz w:val="18"/>
                <w:szCs w:val="18"/>
              </w:rPr>
              <w:t>-</w:t>
            </w:r>
            <w:r>
              <w:rPr>
                <w:rFonts w:hint="eastAsia" w:ascii="宋体" w:hAnsi="宋体" w:eastAsia="宋体" w:cs="Times New Roman"/>
                <w:kern w:val="0"/>
                <w:sz w:val="18"/>
                <w:szCs w:val="18"/>
                <w:lang w:val="en-US" w:eastAsia="zh-CN"/>
              </w:rPr>
              <w:t>2</w:t>
            </w:r>
            <w:r>
              <w:rPr>
                <w:rFonts w:hint="eastAsia" w:ascii="宋体" w:hAnsi="宋体" w:eastAsia="宋体" w:cs="Times New Roman"/>
                <w:kern w:val="0"/>
                <w:sz w:val="18"/>
                <w:szCs w:val="18"/>
              </w:rPr>
              <w:t>2</w:t>
            </w:r>
            <w:r>
              <w:rPr>
                <w:rFonts w:hint="eastAsia" w:ascii="宋体" w:hAnsi="宋体" w:eastAsia="宋体" w:cs="Times New Roman"/>
                <w:kern w:val="0"/>
                <w:sz w:val="18"/>
                <w:szCs w:val="18"/>
                <w:lang w:val="en-US" w:eastAsia="zh-CN"/>
              </w:rPr>
              <w:t>-02</w:t>
            </w:r>
            <w:r>
              <w:rPr>
                <w:rFonts w:hint="eastAsia" w:ascii="宋体" w:hAnsi="宋体" w:eastAsia="宋体" w:cs="Times New Roman"/>
                <w:kern w:val="0"/>
                <w:sz w:val="18"/>
                <w:szCs w:val="18"/>
              </w:rPr>
              <w:t>）</w:t>
            </w:r>
          </w:p>
          <w:p w14:paraId="422F5404">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汽车维修技术服务</w:t>
            </w:r>
            <w:r>
              <w:rPr>
                <w:rFonts w:hint="eastAsia" w:ascii="宋体" w:hAnsi="宋体" w:eastAsia="宋体" w:cs="Times New Roman"/>
                <w:kern w:val="0"/>
                <w:sz w:val="18"/>
                <w:szCs w:val="18"/>
              </w:rPr>
              <w:t>人员</w:t>
            </w:r>
            <w:r>
              <w:rPr>
                <w:rFonts w:hint="eastAsia" w:ascii="宋体" w:hAnsi="宋体" w:eastAsia="宋体" w:cs="Times New Roman"/>
                <w:kern w:val="0"/>
                <w:sz w:val="18"/>
                <w:szCs w:val="18"/>
                <w:lang w:eastAsia="zh-CN"/>
              </w:rPr>
              <w:t>（</w:t>
            </w:r>
            <w:r>
              <w:rPr>
                <w:rFonts w:hint="eastAsia" w:ascii="宋体" w:hAnsi="宋体" w:eastAsia="宋体" w:cs="Times New Roman"/>
                <w:kern w:val="0"/>
                <w:sz w:val="18"/>
                <w:szCs w:val="18"/>
              </w:rPr>
              <w:t>4-</w:t>
            </w:r>
            <w:r>
              <w:rPr>
                <w:rFonts w:hint="eastAsia" w:ascii="宋体" w:hAnsi="宋体" w:eastAsia="宋体" w:cs="Times New Roman"/>
                <w:kern w:val="0"/>
                <w:sz w:val="18"/>
                <w:szCs w:val="18"/>
                <w:lang w:val="en-US" w:eastAsia="zh-CN"/>
              </w:rPr>
              <w:t>12</w:t>
            </w:r>
            <w:r>
              <w:rPr>
                <w:rFonts w:hint="eastAsia" w:ascii="宋体" w:hAnsi="宋体" w:eastAsia="宋体" w:cs="Times New Roman"/>
                <w:kern w:val="0"/>
                <w:sz w:val="18"/>
                <w:szCs w:val="18"/>
              </w:rPr>
              <w:t>-0</w:t>
            </w:r>
            <w:r>
              <w:rPr>
                <w:rFonts w:hint="eastAsia" w:ascii="宋体" w:hAnsi="宋体" w:eastAsia="宋体" w:cs="Times New Roman"/>
                <w:kern w:val="0"/>
                <w:sz w:val="18"/>
                <w:szCs w:val="18"/>
                <w:lang w:val="en-US" w:eastAsia="zh-CN"/>
              </w:rPr>
              <w:t>1</w:t>
            </w:r>
            <w:r>
              <w:rPr>
                <w:rFonts w:hint="eastAsia" w:ascii="宋体" w:hAnsi="宋体" w:eastAsia="宋体" w:cs="Times New Roman"/>
                <w:kern w:val="0"/>
                <w:sz w:val="18"/>
                <w:szCs w:val="18"/>
              </w:rPr>
              <w:t>）</w:t>
            </w:r>
          </w:p>
        </w:tc>
        <w:tc>
          <w:tcPr>
            <w:tcW w:w="1530" w:type="dxa"/>
            <w:vAlign w:val="center"/>
          </w:tcPr>
          <w:p w14:paraId="65B4B825">
            <w:pPr>
              <w:keepNext w:val="0"/>
              <w:keepLines w:val="0"/>
              <w:pageBreakBefore w:val="0"/>
              <w:widowControl/>
              <w:wordWrap/>
              <w:topLinePunct w:val="0"/>
              <w:bidi w:val="0"/>
              <w:adjustRightInd w:val="0"/>
              <w:snapToGrid w:val="0"/>
              <w:spacing w:line="240" w:lineRule="auto"/>
              <w:ind w:left="0" w:right="0"/>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新能源汽车制造装配与质量检验</w:t>
            </w:r>
          </w:p>
          <w:p w14:paraId="14CAA5D5">
            <w:pPr>
              <w:keepNext w:val="0"/>
              <w:keepLines w:val="0"/>
              <w:pageBreakBefore w:val="0"/>
              <w:widowControl/>
              <w:wordWrap/>
              <w:topLinePunct w:val="0"/>
              <w:bidi w:val="0"/>
              <w:adjustRightInd w:val="0"/>
              <w:snapToGrid w:val="0"/>
              <w:spacing w:line="240" w:lineRule="auto"/>
              <w:ind w:left="0" w:right="0"/>
              <w:jc w:val="center"/>
              <w:rPr>
                <w:rFonts w:hint="default" w:ascii="宋体" w:hAnsi="宋体" w:eastAsia="宋体" w:cs="Times New Roman"/>
                <w:kern w:val="0"/>
                <w:sz w:val="18"/>
                <w:szCs w:val="18"/>
                <w:lang w:val="en-US" w:eastAsia="zh-CN"/>
              </w:rPr>
            </w:pPr>
            <w:r>
              <w:rPr>
                <w:rFonts w:hint="eastAsia" w:ascii="宋体" w:hAnsi="宋体" w:eastAsia="宋体" w:cs="Times New Roman"/>
                <w:kern w:val="0"/>
                <w:sz w:val="18"/>
                <w:szCs w:val="18"/>
                <w:lang w:val="en-US" w:eastAsia="zh-CN"/>
              </w:rPr>
              <w:t>新能源汽车技术服务</w:t>
            </w:r>
          </w:p>
          <w:p w14:paraId="6E6EEB1F">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新能源汽车的销售及保险理赔</w:t>
            </w:r>
          </w:p>
        </w:tc>
        <w:tc>
          <w:tcPr>
            <w:tcW w:w="1599" w:type="dxa"/>
            <w:vAlign w:val="center"/>
          </w:tcPr>
          <w:p w14:paraId="5ED457E9">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Times New Roman"/>
                <w:kern w:val="0"/>
                <w:sz w:val="18"/>
                <w:szCs w:val="18"/>
              </w:rPr>
            </w:pPr>
            <w:r>
              <w:rPr>
                <w:rFonts w:hint="eastAsia" w:ascii="宋体" w:hAnsi="宋体" w:eastAsia="宋体" w:cs="Times New Roman"/>
                <w:kern w:val="0"/>
                <w:sz w:val="18"/>
                <w:szCs w:val="18"/>
                <w:lang w:val="en-US" w:eastAsia="zh-CN"/>
              </w:rPr>
              <w:t>特种作业人员、新能源汽车装调与测试、低压电工操作证</w:t>
            </w:r>
          </w:p>
        </w:tc>
      </w:tr>
    </w:tbl>
    <w:p w14:paraId="60A1D7BE">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（二）毕业生职业发展路径</w:t>
      </w:r>
    </w:p>
    <w:p w14:paraId="4ACBE2E7">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default"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表2毕业生职业发展路径表</w:t>
      </w:r>
    </w:p>
    <w:tbl>
      <w:tblPr>
        <w:tblStyle w:val="13"/>
        <w:tblW w:w="90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31"/>
        <w:gridCol w:w="1777"/>
        <w:gridCol w:w="5639"/>
      </w:tblGrid>
      <w:tr w14:paraId="54330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631" w:type="dxa"/>
            <w:vAlign w:val="center"/>
          </w:tcPr>
          <w:p w14:paraId="31F0BC53">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岗位类型</w:t>
            </w:r>
          </w:p>
        </w:tc>
        <w:tc>
          <w:tcPr>
            <w:tcW w:w="1777" w:type="dxa"/>
            <w:vAlign w:val="center"/>
          </w:tcPr>
          <w:p w14:paraId="1DF671DF">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岗位名称</w:t>
            </w:r>
          </w:p>
        </w:tc>
        <w:tc>
          <w:tcPr>
            <w:tcW w:w="5639" w:type="dxa"/>
            <w:vAlign w:val="center"/>
          </w:tcPr>
          <w:p w14:paraId="4F589CE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岗位要求</w:t>
            </w:r>
          </w:p>
        </w:tc>
      </w:tr>
      <w:tr w14:paraId="74B44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6" w:hRule="atLeast"/>
          <w:jc w:val="center"/>
        </w:trPr>
        <w:tc>
          <w:tcPr>
            <w:tcW w:w="1631" w:type="dxa"/>
            <w:vAlign w:val="center"/>
          </w:tcPr>
          <w:p w14:paraId="45313352">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目标岗位</w:t>
            </w:r>
          </w:p>
        </w:tc>
        <w:tc>
          <w:tcPr>
            <w:tcW w:w="1777" w:type="dxa"/>
            <w:vAlign w:val="center"/>
          </w:tcPr>
          <w:p w14:paraId="5188CF97">
            <w:pPr>
              <w:keepNext w:val="0"/>
              <w:keepLines w:val="0"/>
              <w:pageBreakBefore w:val="0"/>
              <w:widowControl/>
              <w:suppressLineNumbers w:val="0"/>
              <w:wordWrap/>
              <w:topLinePunct w:val="0"/>
              <w:bidi w:val="0"/>
              <w:spacing w:line="240" w:lineRule="auto"/>
              <w:ind w:left="0" w:right="0"/>
              <w:jc w:val="center"/>
              <w:rPr>
                <w:rFonts w:hint="default"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cstheme="minorEastAsia"/>
                <w:i w:val="0"/>
                <w:iCs w:val="0"/>
                <w:color w:val="auto"/>
                <w:kern w:val="0"/>
                <w:sz w:val="18"/>
                <w:szCs w:val="18"/>
                <w:lang w:val="en-US" w:eastAsia="zh-CN" w:bidi="ar"/>
              </w:rPr>
              <w:t>新能源汽车装配调试员</w:t>
            </w:r>
            <w:r>
              <w:rPr>
                <w:rFonts w:hint="eastAsia" w:asciiTheme="minorEastAsia" w:hAnsiTheme="minorEastAsia" w:cstheme="minorEastAsia"/>
                <w:i w:val="0"/>
                <w:iCs w:val="0"/>
                <w:color w:val="auto"/>
                <w:sz w:val="18"/>
                <w:szCs w:val="18"/>
                <w:lang w:val="en-US" w:eastAsia="zh-CN"/>
              </w:rPr>
              <w:t>、</w:t>
            </w:r>
            <w:r>
              <w:rPr>
                <w:rFonts w:hint="eastAsia" w:asciiTheme="minorEastAsia" w:hAnsiTheme="minorEastAsia" w:cstheme="minorEastAsia"/>
                <w:i w:val="0"/>
                <w:iCs w:val="0"/>
                <w:color w:val="auto"/>
                <w:kern w:val="0"/>
                <w:sz w:val="18"/>
                <w:szCs w:val="18"/>
                <w:lang w:val="en-US" w:eastAsia="zh-CN" w:bidi="ar"/>
              </w:rPr>
              <w:t>充电站</w:t>
            </w:r>
            <w:r>
              <w:rPr>
                <w:rFonts w:hint="eastAsia" w:asciiTheme="minorEastAsia" w:hAnsiTheme="minorEastAsia" w:cstheme="minorEastAsia"/>
                <w:i w:val="0"/>
                <w:iCs w:val="0"/>
                <w:color w:val="auto"/>
                <w:sz w:val="18"/>
                <w:szCs w:val="18"/>
                <w:lang w:eastAsia="zh-CN"/>
              </w:rPr>
              <w:t>、</w:t>
            </w:r>
            <w:r>
              <w:rPr>
                <w:rFonts w:hint="eastAsia" w:asciiTheme="minorEastAsia" w:hAnsiTheme="minorEastAsia" w:cstheme="minorEastAsia"/>
                <w:i w:val="0"/>
                <w:iCs w:val="0"/>
                <w:color w:val="auto"/>
                <w:kern w:val="0"/>
                <w:sz w:val="18"/>
                <w:szCs w:val="18"/>
                <w:lang w:val="en-US" w:eastAsia="zh-CN" w:bidi="ar"/>
              </w:rPr>
              <w:t>充电桩技术支持</w:t>
            </w:r>
          </w:p>
        </w:tc>
        <w:tc>
          <w:tcPr>
            <w:tcW w:w="5639" w:type="dxa"/>
          </w:tcPr>
          <w:p w14:paraId="132B05D4">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1.掌握新能源汽车的基本构造与工作原理；</w:t>
            </w:r>
          </w:p>
          <w:p w14:paraId="6872B067">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2.熟悉新能源汽车装配工艺规范和流程；</w:t>
            </w:r>
          </w:p>
          <w:p w14:paraId="215E344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3.了解新能源汽车电气系统的基础知识；</w:t>
            </w:r>
          </w:p>
          <w:p w14:paraId="71A18449">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4.掌握新能源汽车调试的基本原理和方法；</w:t>
            </w:r>
          </w:p>
          <w:p w14:paraId="1B80EDCB">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5.</w:t>
            </w:r>
            <w:r>
              <w:rPr>
                <w:rFonts w:hint="eastAsia" w:asciiTheme="minorEastAsia" w:hAnsiTheme="minorEastAsia" w:cstheme="minorEastAsia"/>
                <w:i w:val="0"/>
                <w:iCs w:val="0"/>
                <w:color w:val="auto"/>
                <w:kern w:val="0"/>
                <w:sz w:val="18"/>
                <w:szCs w:val="18"/>
                <w:highlight w:val="none"/>
                <w:lang w:val="en-US" w:eastAsia="zh-CN" w:bidi="ar"/>
              </w:rPr>
              <w:t>具备</w:t>
            </w:r>
            <w:r>
              <w:rPr>
                <w:rFonts w:hint="eastAsia" w:asciiTheme="minorEastAsia" w:hAnsiTheme="minorEastAsia" w:eastAsiaTheme="minorEastAsia" w:cstheme="minorEastAsia"/>
                <w:i w:val="0"/>
                <w:iCs w:val="0"/>
                <w:color w:val="auto"/>
                <w:kern w:val="0"/>
                <w:sz w:val="18"/>
                <w:szCs w:val="18"/>
                <w:highlight w:val="none"/>
                <w:lang w:val="en-US" w:eastAsia="zh-CN" w:bidi="ar"/>
              </w:rPr>
              <w:t>新能源汽车安全操作规范；</w:t>
            </w:r>
          </w:p>
          <w:p w14:paraId="4CEB4B64">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6.具备熟练的装配操作技能</w:t>
            </w:r>
            <w:r>
              <w:rPr>
                <w:rFonts w:hint="eastAsia" w:asciiTheme="minorEastAsia" w:hAnsiTheme="minorEastAsia" w:cstheme="minorEastAsia"/>
                <w:i w:val="0"/>
                <w:iCs w:val="0"/>
                <w:color w:val="auto"/>
                <w:kern w:val="0"/>
                <w:sz w:val="18"/>
                <w:szCs w:val="18"/>
                <w:highlight w:val="none"/>
                <w:lang w:val="en-US" w:eastAsia="zh-CN" w:bidi="ar"/>
              </w:rPr>
              <w:t>和正确使用装配所需的工具和设备</w:t>
            </w:r>
            <w:r>
              <w:rPr>
                <w:rFonts w:hint="eastAsia" w:asciiTheme="minorEastAsia" w:hAnsiTheme="minorEastAsia" w:eastAsiaTheme="minorEastAsia" w:cstheme="minorEastAsia"/>
                <w:i w:val="0"/>
                <w:iCs w:val="0"/>
                <w:color w:val="auto"/>
                <w:kern w:val="0"/>
                <w:sz w:val="18"/>
                <w:szCs w:val="18"/>
                <w:highlight w:val="none"/>
                <w:lang w:val="en-US" w:eastAsia="zh-CN" w:bidi="ar"/>
              </w:rPr>
              <w:t>；</w:t>
            </w:r>
          </w:p>
          <w:p w14:paraId="1AC34A7E">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cstheme="minorEastAsia"/>
                <w:i w:val="0"/>
                <w:iCs w:val="0"/>
                <w:color w:val="auto"/>
                <w:kern w:val="0"/>
                <w:sz w:val="18"/>
                <w:szCs w:val="18"/>
                <w:highlight w:val="none"/>
                <w:lang w:val="en-US" w:eastAsia="zh-CN" w:bidi="ar"/>
              </w:rPr>
            </w:pPr>
            <w:r>
              <w:rPr>
                <w:rFonts w:hint="eastAsia" w:asciiTheme="minorEastAsia" w:hAnsiTheme="minorEastAsia" w:cstheme="minorEastAsia"/>
                <w:i w:val="0"/>
                <w:iCs w:val="0"/>
                <w:color w:val="auto"/>
                <w:kern w:val="0"/>
                <w:sz w:val="18"/>
                <w:szCs w:val="18"/>
                <w:highlight w:val="none"/>
                <w:lang w:val="en-US" w:eastAsia="zh-CN" w:bidi="ar"/>
              </w:rPr>
              <w:t>7.具备一定的调试技能，能够操作调试设备对新能源汽车进行各项性能测试；</w:t>
            </w:r>
          </w:p>
          <w:p w14:paraId="3CF3A359">
            <w:pPr>
              <w:keepNext w:val="0"/>
              <w:keepLines w:val="0"/>
              <w:pageBreakBefore w:val="0"/>
              <w:widowControl/>
              <w:suppressLineNumbers w:val="0"/>
              <w:wordWrap/>
              <w:topLinePunct w:val="0"/>
              <w:bidi w:val="0"/>
              <w:spacing w:line="240" w:lineRule="auto"/>
              <w:ind w:left="0" w:right="0"/>
              <w:jc w:val="left"/>
              <w:rPr>
                <w:rFonts w:hint="default" w:asciiTheme="minorEastAsia" w:hAnsiTheme="minorEastAsia" w:cstheme="minorEastAsia"/>
                <w:i w:val="0"/>
                <w:iCs w:val="0"/>
                <w:color w:val="auto"/>
                <w:kern w:val="0"/>
                <w:sz w:val="18"/>
                <w:szCs w:val="18"/>
                <w:highlight w:val="yellow"/>
                <w:lang w:val="en-US" w:eastAsia="zh-CN" w:bidi="ar"/>
              </w:rPr>
            </w:pPr>
            <w:r>
              <w:rPr>
                <w:rFonts w:hint="eastAsia" w:asciiTheme="minorEastAsia" w:hAnsiTheme="minorEastAsia" w:cstheme="minorEastAsia"/>
                <w:i w:val="0"/>
                <w:iCs w:val="0"/>
                <w:color w:val="auto"/>
                <w:kern w:val="0"/>
                <w:sz w:val="18"/>
                <w:szCs w:val="18"/>
                <w:highlight w:val="none"/>
                <w:lang w:val="en-US" w:eastAsia="zh-CN" w:bidi="ar"/>
              </w:rPr>
              <w:t>8.具有基本的故障排查能力，在装配和调试过程中，能够发现常见的装配缺陷和性能故障，并采取相应的措施进行处理。</w:t>
            </w:r>
          </w:p>
        </w:tc>
      </w:tr>
      <w:tr w14:paraId="18AA2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4FEED0DC">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发展岗位</w:t>
            </w:r>
          </w:p>
        </w:tc>
        <w:tc>
          <w:tcPr>
            <w:tcW w:w="1777" w:type="dxa"/>
            <w:vAlign w:val="center"/>
          </w:tcPr>
          <w:p w14:paraId="59B1B122">
            <w:pPr>
              <w:keepNext w:val="0"/>
              <w:keepLines w:val="0"/>
              <w:pageBreakBefore w:val="0"/>
              <w:widowControl/>
              <w:suppressLineNumbers w:val="0"/>
              <w:wordWrap/>
              <w:topLinePunct w:val="0"/>
              <w:bidi w:val="0"/>
              <w:spacing w:line="240" w:lineRule="auto"/>
              <w:ind w:left="0" w:right="0"/>
              <w:jc w:val="center"/>
              <w:rPr>
                <w:rFonts w:hint="default"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cstheme="minorEastAsia"/>
                <w:i w:val="0"/>
                <w:iCs w:val="0"/>
                <w:color w:val="auto"/>
                <w:kern w:val="0"/>
                <w:sz w:val="18"/>
                <w:szCs w:val="18"/>
                <w:lang w:val="en-US" w:eastAsia="zh-CN" w:bidi="ar"/>
              </w:rPr>
              <w:t>新能源汽车零部件制造技术员、新能源汽车技术主管</w:t>
            </w:r>
          </w:p>
        </w:tc>
        <w:tc>
          <w:tcPr>
            <w:tcW w:w="5639" w:type="dxa"/>
          </w:tcPr>
          <w:p w14:paraId="7A43A226">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1.掌握新能源汽车核心零部件的材料特性、结构设计及制造工艺原理；</w:t>
            </w:r>
          </w:p>
          <w:p w14:paraId="48152908">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2.熟悉零部件制造过程中的质量标准和检验规范；</w:t>
            </w:r>
          </w:p>
          <w:p w14:paraId="3A10A27F">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3.了解制造设备的基本工作原理；</w:t>
            </w:r>
          </w:p>
          <w:p w14:paraId="5A8CDFCB">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4.具备熟练操作零部件制造设备的能力；</w:t>
            </w:r>
          </w:p>
          <w:p w14:paraId="0063A338">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5.能看懂零部件设计图纸、工艺流程图和设备操作规程</w:t>
            </w:r>
            <w:r>
              <w:rPr>
                <w:rFonts w:hint="eastAsia" w:asciiTheme="minorEastAsia" w:hAnsiTheme="minorEastAsia" w:cstheme="minorEastAsia"/>
                <w:i w:val="0"/>
                <w:iCs w:val="0"/>
                <w:color w:val="auto"/>
                <w:kern w:val="0"/>
                <w:sz w:val="18"/>
                <w:szCs w:val="18"/>
                <w:highlight w:val="none"/>
                <w:lang w:val="en-US" w:eastAsia="zh-CN" w:bidi="ar"/>
              </w:rPr>
              <w:t>；</w:t>
            </w:r>
          </w:p>
          <w:p w14:paraId="2387E68E">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cstheme="minorEastAsia"/>
                <w:i w:val="0"/>
                <w:iCs w:val="0"/>
                <w:color w:val="auto"/>
                <w:kern w:val="0"/>
                <w:sz w:val="18"/>
                <w:szCs w:val="18"/>
                <w:highlight w:val="none"/>
                <w:lang w:val="en-US" w:eastAsia="zh-CN" w:bidi="ar"/>
              </w:rPr>
            </w:pPr>
            <w:r>
              <w:rPr>
                <w:rFonts w:hint="eastAsia" w:asciiTheme="minorEastAsia" w:hAnsiTheme="minorEastAsia" w:cstheme="minorEastAsia"/>
                <w:i w:val="0"/>
                <w:iCs w:val="0"/>
                <w:color w:val="auto"/>
                <w:kern w:val="0"/>
                <w:sz w:val="18"/>
                <w:szCs w:val="18"/>
                <w:highlight w:val="none"/>
                <w:lang w:val="en-US" w:eastAsia="zh-CN" w:bidi="ar"/>
              </w:rPr>
              <w:t>6.熟悉新能源汽车研发、生产、检测全流程的技术标准和管理规范；</w:t>
            </w:r>
          </w:p>
          <w:p w14:paraId="06BC8345">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cstheme="minorEastAsia"/>
                <w:i w:val="0"/>
                <w:iCs w:val="0"/>
                <w:color w:val="auto"/>
                <w:kern w:val="0"/>
                <w:sz w:val="18"/>
                <w:szCs w:val="18"/>
                <w:highlight w:val="none"/>
                <w:lang w:val="en-US" w:eastAsia="zh-CN" w:bidi="ar"/>
              </w:rPr>
            </w:pPr>
            <w:r>
              <w:rPr>
                <w:rFonts w:hint="eastAsia" w:asciiTheme="minorEastAsia" w:hAnsiTheme="minorEastAsia" w:cstheme="minorEastAsia"/>
                <w:i w:val="0"/>
                <w:iCs w:val="0"/>
                <w:color w:val="auto"/>
                <w:kern w:val="0"/>
                <w:sz w:val="18"/>
                <w:szCs w:val="18"/>
                <w:highlight w:val="none"/>
                <w:lang w:val="en-US" w:eastAsia="zh-CN" w:bidi="ar"/>
              </w:rPr>
              <w:t>7.掌握项目管理知识，包括项目计划制定、风险评估、资源调配、进度跟踪等方法，能有效推动技术项目落地；</w:t>
            </w:r>
          </w:p>
          <w:p w14:paraId="10E0AC76">
            <w:pPr>
              <w:keepNext w:val="0"/>
              <w:keepLines w:val="0"/>
              <w:pageBreakBefore w:val="0"/>
              <w:widowControl/>
              <w:suppressLineNumbers w:val="0"/>
              <w:wordWrap/>
              <w:topLinePunct w:val="0"/>
              <w:bidi w:val="0"/>
              <w:spacing w:line="240" w:lineRule="auto"/>
              <w:ind w:left="0" w:right="0"/>
              <w:jc w:val="left"/>
              <w:rPr>
                <w:rFonts w:hint="default" w:asciiTheme="minorEastAsia" w:hAnsiTheme="minorEastAsia" w:cstheme="minorEastAsia"/>
                <w:i w:val="0"/>
                <w:iCs w:val="0"/>
                <w:color w:val="auto"/>
                <w:kern w:val="0"/>
                <w:sz w:val="18"/>
                <w:szCs w:val="18"/>
                <w:highlight w:val="yellow"/>
                <w:lang w:val="en-US" w:eastAsia="zh-CN" w:bidi="ar"/>
              </w:rPr>
            </w:pPr>
            <w:r>
              <w:rPr>
                <w:rFonts w:hint="eastAsia" w:asciiTheme="minorEastAsia" w:hAnsiTheme="minorEastAsia" w:cstheme="minorEastAsia"/>
                <w:i w:val="0"/>
                <w:iCs w:val="0"/>
                <w:color w:val="auto"/>
                <w:kern w:val="0"/>
                <w:sz w:val="18"/>
                <w:szCs w:val="18"/>
                <w:highlight w:val="none"/>
                <w:lang w:val="en-US" w:eastAsia="zh-CN" w:bidi="ar"/>
              </w:rPr>
              <w:t>8.具备知识产权保护、技术专利申请等相关知识，了解新能源汽车行业的法律法规和政策导向。</w:t>
            </w:r>
          </w:p>
        </w:tc>
      </w:tr>
      <w:tr w14:paraId="0EBCD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31" w:type="dxa"/>
            <w:vAlign w:val="center"/>
          </w:tcPr>
          <w:p w14:paraId="5624FC3D">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eastAsiaTheme="minorEastAsia" w:cstheme="minorEastAsia"/>
                <w:i w:val="0"/>
                <w:iCs w:val="0"/>
                <w:color w:val="auto"/>
                <w:kern w:val="0"/>
                <w:sz w:val="18"/>
                <w:szCs w:val="18"/>
                <w:lang w:val="en-US" w:eastAsia="zh-CN" w:bidi="ar"/>
              </w:rPr>
              <w:t>迁移岗位</w:t>
            </w:r>
          </w:p>
        </w:tc>
        <w:tc>
          <w:tcPr>
            <w:tcW w:w="1777" w:type="dxa"/>
            <w:vAlign w:val="center"/>
          </w:tcPr>
          <w:p w14:paraId="742CE10C">
            <w:pPr>
              <w:keepNext w:val="0"/>
              <w:keepLines w:val="0"/>
              <w:pageBreakBefore w:val="0"/>
              <w:widowControl/>
              <w:suppressLineNumbers w:val="0"/>
              <w:wordWrap/>
              <w:topLinePunct w:val="0"/>
              <w:bidi w:val="0"/>
              <w:spacing w:line="240" w:lineRule="auto"/>
              <w:ind w:left="0" w:right="0"/>
              <w:jc w:val="center"/>
              <w:rPr>
                <w:rFonts w:hint="default" w:asciiTheme="minorEastAsia" w:hAnsiTheme="minorEastAsia" w:eastAsiaTheme="minorEastAsia" w:cstheme="minorEastAsia"/>
                <w:bCs/>
                <w:i w:val="0"/>
                <w:iCs w:val="0"/>
                <w:color w:val="auto"/>
                <w:sz w:val="18"/>
                <w:szCs w:val="18"/>
                <w:vertAlign w:val="baseline"/>
                <w:lang w:val="en-US" w:eastAsia="zh-CN"/>
              </w:rPr>
            </w:pPr>
            <w:r>
              <w:rPr>
                <w:rFonts w:hint="eastAsia" w:asciiTheme="minorEastAsia" w:hAnsiTheme="minorEastAsia" w:cstheme="minorEastAsia"/>
                <w:i w:val="0"/>
                <w:iCs w:val="0"/>
                <w:color w:val="auto"/>
                <w:sz w:val="18"/>
                <w:szCs w:val="18"/>
                <w:lang w:val="en-US" w:eastAsia="zh-CN"/>
              </w:rPr>
              <w:t>新能源汽车车间主任、新能源汽车售后服务经理</w:t>
            </w:r>
          </w:p>
        </w:tc>
        <w:tc>
          <w:tcPr>
            <w:tcW w:w="5639" w:type="dxa"/>
          </w:tcPr>
          <w:p w14:paraId="07F0A8F6">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1.</w:t>
            </w:r>
            <w:r>
              <w:rPr>
                <w:rFonts w:hint="eastAsia" w:asciiTheme="minorEastAsia" w:hAnsiTheme="minorEastAsia" w:cstheme="minorEastAsia"/>
                <w:i w:val="0"/>
                <w:iCs w:val="0"/>
                <w:color w:val="auto"/>
                <w:kern w:val="0"/>
                <w:sz w:val="18"/>
                <w:szCs w:val="18"/>
                <w:highlight w:val="none"/>
                <w:lang w:val="en-US" w:eastAsia="zh-CN" w:bidi="ar"/>
              </w:rPr>
              <w:t>能</w:t>
            </w:r>
            <w:r>
              <w:rPr>
                <w:rFonts w:hint="eastAsia" w:asciiTheme="minorEastAsia" w:hAnsiTheme="minorEastAsia" w:eastAsiaTheme="minorEastAsia" w:cstheme="minorEastAsia"/>
                <w:i w:val="0"/>
                <w:iCs w:val="0"/>
                <w:color w:val="auto"/>
                <w:kern w:val="0"/>
                <w:sz w:val="18"/>
                <w:szCs w:val="18"/>
                <w:highlight w:val="none"/>
                <w:lang w:val="en-US" w:eastAsia="zh-CN" w:bidi="ar"/>
              </w:rPr>
              <w:t>熟练识读机械图纸，精通工艺及设备操作；</w:t>
            </w:r>
          </w:p>
          <w:p w14:paraId="37CCADD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2.能独立解决生产中的技术问题，并对员工进行现场指导；</w:t>
            </w:r>
          </w:p>
          <w:p w14:paraId="2CCE7BA6">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3.具备较强的计划与统筹能力，能合理排产、协调资源，确保交付周期；</w:t>
            </w:r>
          </w:p>
          <w:p w14:paraId="2EFCE305">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sz w:val="18"/>
                <w:szCs w:val="18"/>
                <w:highlight w:val="none"/>
              </w:rPr>
            </w:pPr>
            <w:r>
              <w:rPr>
                <w:rFonts w:hint="eastAsia" w:asciiTheme="minorEastAsia" w:hAnsiTheme="minorEastAsia" w:eastAsiaTheme="minorEastAsia" w:cstheme="minorEastAsia"/>
                <w:i w:val="0"/>
                <w:iCs w:val="0"/>
                <w:color w:val="auto"/>
                <w:kern w:val="0"/>
                <w:sz w:val="18"/>
                <w:szCs w:val="18"/>
                <w:highlight w:val="none"/>
                <w:lang w:val="en-US" w:eastAsia="zh-CN" w:bidi="ar"/>
              </w:rPr>
              <w:t>4.能熟悉汽车理论、企业管理、服务营销、用户管理、汽车法律法规等知识；</w:t>
            </w:r>
          </w:p>
          <w:p w14:paraId="6F2835CA">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bCs/>
                <w:i w:val="0"/>
                <w:iCs w:val="0"/>
                <w:color w:val="auto"/>
                <w:sz w:val="18"/>
                <w:szCs w:val="18"/>
                <w:highlight w:val="yellow"/>
                <w:vertAlign w:val="baseline"/>
                <w:lang w:val="en-US" w:eastAsia="zh-CN"/>
              </w:rPr>
            </w:pPr>
            <w:r>
              <w:rPr>
                <w:rFonts w:hint="eastAsia" w:asciiTheme="minorEastAsia" w:hAnsiTheme="minorEastAsia" w:eastAsiaTheme="minorEastAsia" w:cstheme="minorEastAsia"/>
                <w:i w:val="0"/>
                <w:iCs w:val="0"/>
                <w:color w:val="auto"/>
                <w:kern w:val="0"/>
                <w:sz w:val="18"/>
                <w:szCs w:val="18"/>
                <w:highlight w:val="none"/>
                <w:lang w:val="en-US" w:eastAsia="zh-CN" w:bidi="ar"/>
              </w:rPr>
              <w:t>5.能熟练使用数据分析工具，具备市场洞察和市场开拓能力。</w:t>
            </w:r>
          </w:p>
        </w:tc>
      </w:tr>
    </w:tbl>
    <w:p w14:paraId="7C634F52">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（三）职业能力和课程对应分析</w:t>
      </w:r>
    </w:p>
    <w:p w14:paraId="2E2C7285">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表3职业能力和课程对应分析表</w:t>
      </w:r>
    </w:p>
    <w:tbl>
      <w:tblPr>
        <w:tblStyle w:val="12"/>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1035"/>
        <w:gridCol w:w="2409"/>
        <w:gridCol w:w="3120"/>
        <w:gridCol w:w="1798"/>
      </w:tblGrid>
      <w:tr w14:paraId="2D5F3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tblHeader/>
          <w:jc w:val="center"/>
        </w:trPr>
        <w:tc>
          <w:tcPr>
            <w:tcW w:w="710" w:type="dxa"/>
            <w:noWrap w:val="0"/>
            <w:vAlign w:val="center"/>
          </w:tcPr>
          <w:p w14:paraId="2FB3626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序号</w:t>
            </w:r>
          </w:p>
        </w:tc>
        <w:tc>
          <w:tcPr>
            <w:tcW w:w="1035" w:type="dxa"/>
            <w:noWrap w:val="0"/>
            <w:vAlign w:val="center"/>
          </w:tcPr>
          <w:p w14:paraId="0D8F6DF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工作岗位</w:t>
            </w:r>
          </w:p>
        </w:tc>
        <w:tc>
          <w:tcPr>
            <w:tcW w:w="2409" w:type="dxa"/>
            <w:noWrap w:val="0"/>
            <w:vAlign w:val="center"/>
          </w:tcPr>
          <w:p w14:paraId="03F3AF43">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岗位工作任务</w:t>
            </w:r>
          </w:p>
        </w:tc>
        <w:tc>
          <w:tcPr>
            <w:tcW w:w="3120" w:type="dxa"/>
            <w:noWrap w:val="0"/>
            <w:vAlign w:val="center"/>
          </w:tcPr>
          <w:p w14:paraId="0D7FA004">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职业能力</w:t>
            </w:r>
          </w:p>
        </w:tc>
        <w:tc>
          <w:tcPr>
            <w:tcW w:w="1798" w:type="dxa"/>
            <w:noWrap w:val="0"/>
            <w:vAlign w:val="center"/>
          </w:tcPr>
          <w:p w14:paraId="6AA18617">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lang w:val="en-US" w:eastAsia="zh-CN"/>
              </w:rPr>
            </w:pPr>
            <w:r>
              <w:rPr>
                <w:rFonts w:hint="eastAsia" w:ascii="Times New Roman" w:hAnsi="Times New Roman" w:eastAsia="黑体" w:cs="Times New Roman"/>
                <w:b w:val="0"/>
                <w:bCs/>
                <w:color w:val="auto"/>
                <w:sz w:val="18"/>
                <w:szCs w:val="18"/>
                <w:lang w:val="en-US" w:eastAsia="zh-CN"/>
              </w:rPr>
              <w:t>核心课程</w:t>
            </w:r>
          </w:p>
        </w:tc>
      </w:tr>
      <w:tr w14:paraId="3ADD5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710" w:type="dxa"/>
            <w:noWrap w:val="0"/>
            <w:vAlign w:val="center"/>
          </w:tcPr>
          <w:p w14:paraId="528C11D7">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p>
        </w:tc>
        <w:tc>
          <w:tcPr>
            <w:tcW w:w="1035" w:type="dxa"/>
            <w:noWrap w:val="0"/>
            <w:vAlign w:val="center"/>
          </w:tcPr>
          <w:p w14:paraId="7C7FD1FD">
            <w:pPr>
              <w:keepNext w:val="0"/>
              <w:keepLines w:val="0"/>
              <w:pageBreakBefore w:val="0"/>
              <w:widowControl/>
              <w:suppressLineNumbers w:val="0"/>
              <w:wordWrap/>
              <w:topLinePunct w:val="0"/>
              <w:bidi w:val="0"/>
              <w:spacing w:line="240" w:lineRule="auto"/>
              <w:ind w:left="0" w:right="0"/>
              <w:jc w:val="center"/>
              <w:rPr>
                <w:rFonts w:hint="default"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kern w:val="0"/>
                <w:sz w:val="18"/>
                <w:szCs w:val="18"/>
                <w:lang w:val="en-US" w:eastAsia="zh-CN" w:bidi="ar"/>
              </w:rPr>
              <w:t>新能源汽车装配调试员</w:t>
            </w:r>
          </w:p>
        </w:tc>
        <w:tc>
          <w:tcPr>
            <w:tcW w:w="2409" w:type="dxa"/>
            <w:noWrap w:val="0"/>
            <w:vAlign w:val="center"/>
          </w:tcPr>
          <w:p w14:paraId="694B618A">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生产线的工艺开发</w:t>
            </w:r>
            <w:r>
              <w:rPr>
                <w:rFonts w:hint="eastAsia" w:asciiTheme="minorEastAsia" w:hAnsiTheme="minorEastAsia" w:eastAsiaTheme="minorEastAsia" w:cstheme="minorEastAsia"/>
                <w:i w:val="0"/>
                <w:iCs w:val="0"/>
                <w:color w:val="auto"/>
                <w:kern w:val="0"/>
                <w:sz w:val="18"/>
                <w:szCs w:val="18"/>
                <w:lang w:val="en-US" w:eastAsia="zh-CN" w:bidi="ar"/>
              </w:rPr>
              <w:t>；</w:t>
            </w:r>
          </w:p>
          <w:p w14:paraId="2B0DD833">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正确安装调试、使用设备</w:t>
            </w:r>
            <w:r>
              <w:rPr>
                <w:rFonts w:hint="eastAsia" w:asciiTheme="minorEastAsia" w:hAnsiTheme="minorEastAsia" w:eastAsiaTheme="minorEastAsia" w:cstheme="minorEastAsia"/>
                <w:i w:val="0"/>
                <w:iCs w:val="0"/>
                <w:color w:val="auto"/>
                <w:kern w:val="0"/>
                <w:sz w:val="18"/>
                <w:szCs w:val="18"/>
                <w:lang w:val="en-US" w:eastAsia="zh-CN" w:bidi="ar"/>
              </w:rPr>
              <w:t>；</w:t>
            </w:r>
          </w:p>
          <w:p w14:paraId="05DF9F53">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正确绘制和识读图纸；</w:t>
            </w:r>
          </w:p>
          <w:p w14:paraId="55CBD5BC">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r>
              <w:rPr>
                <w:rFonts w:hint="eastAsia" w:asciiTheme="minorEastAsia" w:hAnsiTheme="minorEastAsia" w:cstheme="minorEastAsia"/>
                <w:i w:val="0"/>
                <w:iCs w:val="0"/>
                <w:color w:val="auto"/>
                <w:kern w:val="0"/>
                <w:sz w:val="18"/>
                <w:szCs w:val="18"/>
                <w:lang w:val="en-US" w:eastAsia="zh-CN" w:bidi="ar"/>
              </w:rPr>
              <w:t>按技术要求进行零部件和整车装配，能参与解决现场的实际问题</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3120" w:type="dxa"/>
            <w:noWrap w:val="0"/>
            <w:vAlign w:val="center"/>
          </w:tcPr>
          <w:p w14:paraId="124764BC">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1.</w:t>
            </w:r>
            <w:r>
              <w:rPr>
                <w:rFonts w:hint="eastAsia" w:asciiTheme="minorEastAsia" w:hAnsiTheme="minorEastAsia" w:cstheme="minorEastAsia"/>
                <w:i w:val="0"/>
                <w:iCs w:val="0"/>
                <w:color w:val="auto"/>
                <w:kern w:val="0"/>
                <w:sz w:val="18"/>
                <w:szCs w:val="18"/>
                <w:highlight w:val="none"/>
                <w:lang w:val="en-US" w:eastAsia="zh-CN" w:bidi="ar"/>
              </w:rPr>
              <w:t>良好的沟通协调能力、主动的学习能力和团队合作意识</w:t>
            </w:r>
            <w:r>
              <w:rPr>
                <w:rFonts w:hint="eastAsia" w:asciiTheme="minorEastAsia" w:hAnsiTheme="minorEastAsia" w:eastAsiaTheme="minorEastAsia" w:cstheme="minorEastAsia"/>
                <w:i w:val="0"/>
                <w:iCs w:val="0"/>
                <w:color w:val="auto"/>
                <w:kern w:val="0"/>
                <w:sz w:val="18"/>
                <w:szCs w:val="18"/>
                <w:highlight w:val="none"/>
                <w:lang w:val="en-US" w:eastAsia="zh-CN" w:bidi="ar"/>
              </w:rPr>
              <w:t>；</w:t>
            </w:r>
          </w:p>
          <w:p w14:paraId="7F1E8371">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2.能</w:t>
            </w:r>
            <w:r>
              <w:rPr>
                <w:rFonts w:hint="eastAsia" w:asciiTheme="minorEastAsia" w:hAnsiTheme="minorEastAsia" w:cstheme="minorEastAsia"/>
                <w:i w:val="0"/>
                <w:iCs w:val="0"/>
                <w:color w:val="auto"/>
                <w:kern w:val="0"/>
                <w:sz w:val="18"/>
                <w:szCs w:val="18"/>
                <w:highlight w:val="none"/>
                <w:lang w:val="en-US" w:eastAsia="zh-CN" w:bidi="ar"/>
              </w:rPr>
              <w:t>吃苦耐劳，具有良好的职业道德和团队合作精神</w:t>
            </w:r>
            <w:r>
              <w:rPr>
                <w:rFonts w:hint="eastAsia" w:asciiTheme="minorEastAsia" w:hAnsiTheme="minorEastAsia" w:eastAsiaTheme="minorEastAsia" w:cstheme="minorEastAsia"/>
                <w:i w:val="0"/>
                <w:iCs w:val="0"/>
                <w:color w:val="auto"/>
                <w:kern w:val="0"/>
                <w:sz w:val="18"/>
                <w:szCs w:val="18"/>
                <w:highlight w:val="none"/>
                <w:lang w:val="en-US" w:eastAsia="zh-CN" w:bidi="ar"/>
              </w:rPr>
              <w:t>；</w:t>
            </w:r>
          </w:p>
          <w:p w14:paraId="3A94444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heme="minorEastAsia" w:hAnsiTheme="minorEastAsia" w:eastAsiaTheme="minorEastAsia" w:cstheme="minorEastAsia"/>
                <w:i w:val="0"/>
                <w:iCs w:val="0"/>
                <w:color w:val="auto"/>
                <w:kern w:val="0"/>
                <w:sz w:val="18"/>
                <w:szCs w:val="18"/>
                <w:highlight w:val="none"/>
                <w:lang w:val="en-US" w:eastAsia="zh-CN" w:bidi="ar"/>
              </w:rPr>
              <w:t>3.</w:t>
            </w:r>
            <w:r>
              <w:rPr>
                <w:rFonts w:hint="eastAsia" w:asciiTheme="minorEastAsia" w:hAnsiTheme="minorEastAsia" w:cstheme="minorEastAsia"/>
                <w:i w:val="0"/>
                <w:iCs w:val="0"/>
                <w:color w:val="auto"/>
                <w:kern w:val="0"/>
                <w:sz w:val="18"/>
                <w:szCs w:val="18"/>
                <w:highlight w:val="none"/>
                <w:lang w:val="en-US" w:eastAsia="zh-CN" w:bidi="ar"/>
              </w:rPr>
              <w:t>具备扎实的新能源汽车技术知识和实际动手能力。</w:t>
            </w:r>
          </w:p>
        </w:tc>
        <w:tc>
          <w:tcPr>
            <w:tcW w:w="1798" w:type="dxa"/>
            <w:noWrap w:val="0"/>
            <w:vAlign w:val="center"/>
          </w:tcPr>
          <w:p w14:paraId="070043DD">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imes New Roman" w:hAnsi="Times New Roman" w:eastAsia="宋体" w:cs="Times New Roman"/>
                <w:color w:val="auto"/>
                <w:kern w:val="2"/>
                <w:sz w:val="18"/>
                <w:szCs w:val="18"/>
                <w:highlight w:val="none"/>
                <w:lang w:val="en-US" w:eastAsia="zh-CN" w:bidi="ar-SA"/>
              </w:rPr>
              <w:t>汽车构造</w:t>
            </w:r>
            <w:r>
              <w:rPr>
                <w:rFonts w:hint="eastAsia" w:asciiTheme="minorEastAsia" w:hAnsiTheme="minorEastAsia" w:cstheme="minorEastAsia"/>
                <w:i w:val="0"/>
                <w:iCs w:val="0"/>
                <w:color w:val="auto"/>
                <w:kern w:val="0"/>
                <w:sz w:val="18"/>
                <w:szCs w:val="18"/>
                <w:highlight w:val="none"/>
                <w:lang w:val="en-US" w:eastAsia="zh-CN" w:bidi="ar"/>
              </w:rPr>
              <w:t>、</w:t>
            </w:r>
            <w:r>
              <w:rPr>
                <w:rFonts w:hint="eastAsia" w:ascii="Times New Roman" w:hAnsi="Times New Roman" w:eastAsia="宋体" w:cs="Times New Roman"/>
                <w:color w:val="auto"/>
                <w:sz w:val="18"/>
                <w:szCs w:val="18"/>
                <w:highlight w:val="none"/>
                <w:lang w:val="en-US" w:eastAsia="zh-CN"/>
              </w:rPr>
              <w:t>新能源汽车综合性能检测与故障诊断</w:t>
            </w:r>
            <w:r>
              <w:rPr>
                <w:rFonts w:hint="eastAsia" w:asciiTheme="minorEastAsia" w:hAnsiTheme="minorEastAsia" w:cstheme="minorEastAsia"/>
                <w:i w:val="0"/>
                <w:iCs w:val="0"/>
                <w:color w:val="auto"/>
                <w:kern w:val="0"/>
                <w:sz w:val="18"/>
                <w:szCs w:val="18"/>
                <w:highlight w:val="none"/>
                <w:lang w:val="en-US" w:eastAsia="zh-CN" w:bidi="ar"/>
              </w:rPr>
              <w:t>、</w:t>
            </w:r>
          </w:p>
          <w:p w14:paraId="51010410">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none"/>
                <w:lang w:val="en-US" w:eastAsia="zh-CN" w:bidi="ar"/>
              </w:rPr>
            </w:pPr>
            <w:r>
              <w:rPr>
                <w:rFonts w:hint="eastAsia" w:ascii="Times New Roman" w:hAnsi="Times New Roman" w:eastAsia="宋体" w:cs="Times New Roman"/>
                <w:color w:val="auto"/>
                <w:sz w:val="18"/>
                <w:szCs w:val="18"/>
                <w:highlight w:val="none"/>
                <w:lang w:val="en-US" w:eastAsia="zh-CN"/>
              </w:rPr>
              <w:t>新能源汽车整车控制技术</w:t>
            </w:r>
          </w:p>
        </w:tc>
      </w:tr>
      <w:tr w14:paraId="49F45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2" w:hRule="atLeast"/>
          <w:jc w:val="center"/>
        </w:trPr>
        <w:tc>
          <w:tcPr>
            <w:tcW w:w="710" w:type="dxa"/>
            <w:noWrap w:val="0"/>
            <w:vAlign w:val="center"/>
          </w:tcPr>
          <w:p w14:paraId="6B11D5D2">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p>
        </w:tc>
        <w:tc>
          <w:tcPr>
            <w:tcW w:w="1035" w:type="dxa"/>
            <w:noWrap w:val="0"/>
            <w:vAlign w:val="center"/>
          </w:tcPr>
          <w:p w14:paraId="5EE34A5C">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kern w:val="0"/>
                <w:sz w:val="18"/>
                <w:szCs w:val="18"/>
                <w:lang w:val="en-US" w:eastAsia="zh-CN" w:bidi="ar"/>
              </w:rPr>
              <w:t>充电站</w:t>
            </w:r>
            <w:r>
              <w:rPr>
                <w:rFonts w:hint="eastAsia" w:asciiTheme="minorEastAsia" w:hAnsiTheme="minorEastAsia" w:cstheme="minorEastAsia"/>
                <w:i w:val="0"/>
                <w:iCs w:val="0"/>
                <w:color w:val="auto"/>
                <w:sz w:val="18"/>
                <w:szCs w:val="18"/>
                <w:lang w:eastAsia="zh-CN"/>
              </w:rPr>
              <w:t>、</w:t>
            </w:r>
            <w:r>
              <w:rPr>
                <w:rFonts w:hint="eastAsia" w:asciiTheme="minorEastAsia" w:hAnsiTheme="minorEastAsia" w:cstheme="minorEastAsia"/>
                <w:i w:val="0"/>
                <w:iCs w:val="0"/>
                <w:color w:val="auto"/>
                <w:kern w:val="0"/>
                <w:sz w:val="18"/>
                <w:szCs w:val="18"/>
                <w:lang w:val="en-US" w:eastAsia="zh-CN" w:bidi="ar"/>
              </w:rPr>
              <w:t>充电桩技术支持</w:t>
            </w:r>
          </w:p>
        </w:tc>
        <w:tc>
          <w:tcPr>
            <w:tcW w:w="2409" w:type="dxa"/>
            <w:noWrap w:val="0"/>
            <w:vAlign w:val="center"/>
          </w:tcPr>
          <w:p w14:paraId="5E4BE42F">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充电站维护与管理</w:t>
            </w:r>
            <w:r>
              <w:rPr>
                <w:rFonts w:hint="eastAsia" w:asciiTheme="minorEastAsia" w:hAnsiTheme="minorEastAsia" w:eastAsiaTheme="minorEastAsia" w:cstheme="minorEastAsia"/>
                <w:i w:val="0"/>
                <w:iCs w:val="0"/>
                <w:color w:val="auto"/>
                <w:kern w:val="0"/>
                <w:sz w:val="18"/>
                <w:szCs w:val="18"/>
                <w:lang w:val="en-US" w:eastAsia="zh-CN" w:bidi="ar"/>
              </w:rPr>
              <w:t>；</w:t>
            </w:r>
          </w:p>
          <w:p w14:paraId="6D62DB4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电动汽车充电桩维护与管理</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3120" w:type="dxa"/>
            <w:noWrap w:val="0"/>
            <w:vAlign w:val="center"/>
          </w:tcPr>
          <w:p w14:paraId="715E07B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熟识电动车充电站的设备，能正确使用和维护</w:t>
            </w:r>
            <w:r>
              <w:rPr>
                <w:rFonts w:hint="eastAsia" w:asciiTheme="minorEastAsia" w:hAnsiTheme="minorEastAsia" w:eastAsiaTheme="minorEastAsia" w:cstheme="minorEastAsia"/>
                <w:i w:val="0"/>
                <w:iCs w:val="0"/>
                <w:color w:val="auto"/>
                <w:kern w:val="0"/>
                <w:sz w:val="18"/>
                <w:szCs w:val="18"/>
                <w:lang w:val="en-US" w:eastAsia="zh-CN" w:bidi="ar"/>
              </w:rPr>
              <w:t>；</w:t>
            </w:r>
          </w:p>
          <w:p w14:paraId="428D50AB">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了解电动车充电站的经营管理模式</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1798" w:type="dxa"/>
            <w:noWrap w:val="0"/>
            <w:vAlign w:val="top"/>
          </w:tcPr>
          <w:p w14:paraId="732CFF4B">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yellow"/>
                <w:lang w:val="en-US" w:eastAsia="zh-CN" w:bidi="ar"/>
              </w:rPr>
            </w:pPr>
            <w:r>
              <w:rPr>
                <w:rFonts w:hint="eastAsia" w:ascii="Times New Roman" w:hAnsi="Times New Roman" w:eastAsia="宋体" w:cs="Times New Roman"/>
                <w:color w:val="auto"/>
                <w:kern w:val="2"/>
                <w:sz w:val="18"/>
                <w:szCs w:val="18"/>
                <w:lang w:val="en-US" w:eastAsia="zh-CN" w:bidi="ar-SA"/>
              </w:rPr>
              <w:t>新能源汽车电气技术、</w:t>
            </w:r>
            <w:r>
              <w:rPr>
                <w:rFonts w:hint="eastAsia" w:ascii="Times New Roman" w:hAnsi="Times New Roman" w:eastAsia="宋体" w:cs="Times New Roman"/>
                <w:color w:val="auto"/>
                <w:sz w:val="18"/>
                <w:szCs w:val="18"/>
                <w:lang w:val="en-US" w:eastAsia="zh-CN"/>
              </w:rPr>
              <w:t>新能源汽车电池及管理系统、</w:t>
            </w:r>
            <w:r>
              <w:rPr>
                <w:rFonts w:hint="eastAsia" w:ascii="Times New Roman" w:hAnsi="Times New Roman" w:eastAsia="宋体" w:cs="Times New Roman"/>
                <w:color w:val="auto"/>
                <w:sz w:val="18"/>
                <w:szCs w:val="18"/>
              </w:rPr>
              <w:t>车载充电系统及充电站技术</w:t>
            </w:r>
          </w:p>
        </w:tc>
      </w:tr>
      <w:tr w14:paraId="1FFB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710" w:type="dxa"/>
            <w:noWrap w:val="0"/>
            <w:vAlign w:val="center"/>
          </w:tcPr>
          <w:p w14:paraId="2F6D7EF6">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p>
        </w:tc>
        <w:tc>
          <w:tcPr>
            <w:tcW w:w="1035" w:type="dxa"/>
            <w:noWrap w:val="0"/>
            <w:vAlign w:val="center"/>
          </w:tcPr>
          <w:p w14:paraId="06CB9812">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kern w:val="0"/>
                <w:sz w:val="18"/>
                <w:szCs w:val="18"/>
                <w:lang w:val="en-US" w:eastAsia="zh-CN" w:bidi="ar"/>
              </w:rPr>
              <w:t>新能源汽车零部件制造技术员</w:t>
            </w:r>
          </w:p>
        </w:tc>
        <w:tc>
          <w:tcPr>
            <w:tcW w:w="2409" w:type="dxa"/>
            <w:noWrap w:val="0"/>
            <w:vAlign w:val="center"/>
          </w:tcPr>
          <w:p w14:paraId="4ADFE358">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按技术要求进行零部件制造和装配</w:t>
            </w:r>
            <w:r>
              <w:rPr>
                <w:rFonts w:hint="eastAsia" w:asciiTheme="minorEastAsia" w:hAnsiTheme="minorEastAsia" w:eastAsiaTheme="minorEastAsia" w:cstheme="minorEastAsia"/>
                <w:i w:val="0"/>
                <w:iCs w:val="0"/>
                <w:color w:val="auto"/>
                <w:kern w:val="0"/>
                <w:sz w:val="18"/>
                <w:szCs w:val="18"/>
                <w:lang w:val="en-US" w:eastAsia="zh-CN" w:bidi="ar"/>
              </w:rPr>
              <w:t>；</w:t>
            </w:r>
          </w:p>
          <w:p w14:paraId="300256F3">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能参与解决现场的实际问题；</w:t>
            </w:r>
          </w:p>
          <w:p w14:paraId="29C14B34">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能解决新能源汽车产品量产中的问题</w:t>
            </w:r>
            <w:r>
              <w:rPr>
                <w:rFonts w:hint="eastAsia" w:asciiTheme="minorEastAsia" w:hAnsiTheme="minorEastAsia" w:eastAsiaTheme="minorEastAsia" w:cstheme="minorEastAsia"/>
                <w:i w:val="0"/>
                <w:iCs w:val="0"/>
                <w:color w:val="auto"/>
                <w:kern w:val="0"/>
                <w:sz w:val="18"/>
                <w:szCs w:val="18"/>
                <w:lang w:val="en-US" w:eastAsia="zh-CN" w:bidi="ar"/>
              </w:rPr>
              <w:t>；</w:t>
            </w:r>
          </w:p>
          <w:p w14:paraId="774AD2CA">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r>
              <w:rPr>
                <w:rFonts w:hint="eastAsia" w:asciiTheme="minorEastAsia" w:hAnsiTheme="minorEastAsia" w:cstheme="minorEastAsia"/>
                <w:i w:val="0"/>
                <w:iCs w:val="0"/>
                <w:color w:val="auto"/>
                <w:kern w:val="0"/>
                <w:sz w:val="18"/>
                <w:szCs w:val="18"/>
                <w:lang w:val="en-US" w:eastAsia="zh-CN" w:bidi="ar"/>
              </w:rPr>
              <w:t>新能源汽车电机、电池、智能终端电子产品制造、检测与故障分析</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3120" w:type="dxa"/>
            <w:noWrap w:val="0"/>
            <w:vAlign w:val="center"/>
          </w:tcPr>
          <w:p w14:paraId="324D28B5">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熟识新能源汽车零部件的装配技术要求和工艺</w:t>
            </w:r>
            <w:r>
              <w:rPr>
                <w:rFonts w:hint="eastAsia" w:asciiTheme="minorEastAsia" w:hAnsiTheme="minorEastAsia" w:eastAsiaTheme="minorEastAsia" w:cstheme="minorEastAsia"/>
                <w:i w:val="0"/>
                <w:iCs w:val="0"/>
                <w:color w:val="auto"/>
                <w:kern w:val="0"/>
                <w:sz w:val="18"/>
                <w:szCs w:val="18"/>
                <w:lang w:val="en-US" w:eastAsia="zh-CN" w:bidi="ar"/>
              </w:rPr>
              <w:t>；</w:t>
            </w:r>
          </w:p>
          <w:p w14:paraId="7FB2EEF1">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能对安装的总成件进行质量的初步检验和分析</w:t>
            </w:r>
            <w:r>
              <w:rPr>
                <w:rFonts w:hint="eastAsia" w:asciiTheme="minorEastAsia" w:hAnsiTheme="minorEastAsia" w:eastAsiaTheme="minorEastAsia" w:cstheme="minorEastAsia"/>
                <w:i w:val="0"/>
                <w:iCs w:val="0"/>
                <w:color w:val="auto"/>
                <w:kern w:val="0"/>
                <w:sz w:val="18"/>
                <w:szCs w:val="18"/>
                <w:lang w:val="en-US" w:eastAsia="zh-CN" w:bidi="ar"/>
              </w:rPr>
              <w:t>；</w:t>
            </w:r>
          </w:p>
          <w:p w14:paraId="1E34B24E">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良好的沟通协调能力、主动的学习能力和团队合作意识</w:t>
            </w:r>
            <w:r>
              <w:rPr>
                <w:rFonts w:hint="eastAsia" w:asciiTheme="minorEastAsia" w:hAnsiTheme="minorEastAsia" w:eastAsiaTheme="minorEastAsia" w:cstheme="minorEastAsia"/>
                <w:i w:val="0"/>
                <w:iCs w:val="0"/>
                <w:color w:val="auto"/>
                <w:kern w:val="0"/>
                <w:sz w:val="18"/>
                <w:szCs w:val="18"/>
                <w:lang w:val="en-US" w:eastAsia="zh-CN" w:bidi="ar"/>
              </w:rPr>
              <w:t>；</w:t>
            </w:r>
          </w:p>
          <w:p w14:paraId="0CB63DC4">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4.能</w:t>
            </w:r>
            <w:r>
              <w:rPr>
                <w:rFonts w:hint="eastAsia" w:asciiTheme="minorEastAsia" w:hAnsiTheme="minorEastAsia" w:cstheme="minorEastAsia"/>
                <w:i w:val="0"/>
                <w:iCs w:val="0"/>
                <w:color w:val="auto"/>
                <w:kern w:val="0"/>
                <w:sz w:val="18"/>
                <w:szCs w:val="18"/>
                <w:lang w:val="en-US" w:eastAsia="zh-CN" w:bidi="ar"/>
              </w:rPr>
              <w:t>吃苦耐劳，具有良好的职业道德和团队合作精神。</w:t>
            </w:r>
          </w:p>
        </w:tc>
        <w:tc>
          <w:tcPr>
            <w:tcW w:w="1798" w:type="dxa"/>
            <w:noWrap w:val="0"/>
            <w:vAlign w:val="center"/>
          </w:tcPr>
          <w:p w14:paraId="2B3A3BAF">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highlight w:val="yellow"/>
                <w:lang w:val="en-US" w:eastAsia="zh-CN" w:bidi="ar"/>
              </w:rPr>
            </w:pPr>
            <w:r>
              <w:rPr>
                <w:rFonts w:hint="eastAsia" w:ascii="Times New Roman" w:hAnsi="Times New Roman" w:eastAsia="宋体" w:cs="Times New Roman"/>
                <w:color w:val="auto"/>
                <w:kern w:val="2"/>
                <w:sz w:val="18"/>
                <w:szCs w:val="18"/>
                <w:highlight w:val="none"/>
                <w:lang w:val="en-US" w:eastAsia="zh-CN" w:bidi="ar-SA"/>
              </w:rPr>
              <w:t>汽车构造、</w:t>
            </w:r>
            <w:r>
              <w:rPr>
                <w:rFonts w:hint="eastAsia" w:ascii="Times New Roman" w:hAnsi="Times New Roman" w:eastAsia="宋体" w:cs="Times New Roman"/>
                <w:color w:val="auto"/>
                <w:sz w:val="18"/>
                <w:szCs w:val="18"/>
                <w:lang w:val="en-US" w:eastAsia="zh-CN"/>
              </w:rPr>
              <w:t>新能源汽车电池及管理系统、</w:t>
            </w:r>
            <w:r>
              <w:rPr>
                <w:rFonts w:hint="eastAsia" w:ascii="Times New Roman" w:hAnsi="Times New Roman" w:eastAsia="宋体" w:cs="Times New Roman"/>
                <w:color w:val="auto"/>
                <w:sz w:val="18"/>
                <w:szCs w:val="18"/>
                <w:highlight w:val="none"/>
                <w:lang w:val="en-US" w:eastAsia="zh-CN"/>
              </w:rPr>
              <w:t>新能源汽车驱动电机及控制技术</w:t>
            </w:r>
          </w:p>
        </w:tc>
      </w:tr>
      <w:tr w14:paraId="35D68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 w:hRule="atLeast"/>
          <w:jc w:val="center"/>
        </w:trPr>
        <w:tc>
          <w:tcPr>
            <w:tcW w:w="710" w:type="dxa"/>
            <w:noWrap w:val="0"/>
            <w:vAlign w:val="center"/>
          </w:tcPr>
          <w:p w14:paraId="303CA5DD">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p>
        </w:tc>
        <w:tc>
          <w:tcPr>
            <w:tcW w:w="1035" w:type="dxa"/>
            <w:noWrap w:val="0"/>
            <w:vAlign w:val="center"/>
          </w:tcPr>
          <w:p w14:paraId="2E94BFBF">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kern w:val="0"/>
                <w:sz w:val="18"/>
                <w:szCs w:val="18"/>
                <w:lang w:val="en-US" w:eastAsia="zh-CN" w:bidi="ar"/>
              </w:rPr>
              <w:t>新能源汽车技术主管</w:t>
            </w:r>
          </w:p>
        </w:tc>
        <w:tc>
          <w:tcPr>
            <w:tcW w:w="2409" w:type="dxa"/>
            <w:noWrap w:val="0"/>
            <w:vAlign w:val="center"/>
          </w:tcPr>
          <w:p w14:paraId="48D2DFD6">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主要负责跟踪行业先进技术，完成公司系统内产品的产品试制</w:t>
            </w:r>
            <w:r>
              <w:rPr>
                <w:rFonts w:hint="eastAsia" w:asciiTheme="minorEastAsia" w:hAnsiTheme="minorEastAsia" w:eastAsiaTheme="minorEastAsia" w:cstheme="minorEastAsia"/>
                <w:i w:val="0"/>
                <w:iCs w:val="0"/>
                <w:color w:val="auto"/>
                <w:kern w:val="0"/>
                <w:sz w:val="18"/>
                <w:szCs w:val="18"/>
                <w:lang w:val="en-US" w:eastAsia="zh-CN" w:bidi="ar"/>
              </w:rPr>
              <w:t>；</w:t>
            </w:r>
          </w:p>
          <w:p w14:paraId="3ACD2779">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解决产品生产中的工艺方案、工艺流程、配套设置等相关问题；</w:t>
            </w:r>
          </w:p>
          <w:p w14:paraId="4A850C77">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负责产品生产工艺方案的编制、实施和监督</w:t>
            </w:r>
            <w:r>
              <w:rPr>
                <w:rFonts w:hint="eastAsia" w:asciiTheme="minorEastAsia" w:hAnsiTheme="minorEastAsia" w:eastAsiaTheme="minorEastAsia" w:cstheme="minorEastAsia"/>
                <w:i w:val="0"/>
                <w:iCs w:val="0"/>
                <w:color w:val="auto"/>
                <w:kern w:val="0"/>
                <w:sz w:val="18"/>
                <w:szCs w:val="18"/>
                <w:lang w:val="en-US" w:eastAsia="zh-CN" w:bidi="ar"/>
              </w:rPr>
              <w:t>；</w:t>
            </w:r>
          </w:p>
          <w:p w14:paraId="20584287">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r>
              <w:rPr>
                <w:rFonts w:hint="eastAsia" w:asciiTheme="minorEastAsia" w:hAnsiTheme="minorEastAsia" w:cstheme="minorEastAsia"/>
                <w:i w:val="0"/>
                <w:iCs w:val="0"/>
                <w:color w:val="auto"/>
                <w:kern w:val="0"/>
                <w:sz w:val="18"/>
                <w:szCs w:val="18"/>
                <w:lang w:val="en-US" w:eastAsia="zh-CN" w:bidi="ar"/>
              </w:rPr>
              <w:t>积极开展技术攻关和改进工作</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3120" w:type="dxa"/>
            <w:noWrap w:val="0"/>
            <w:vAlign w:val="center"/>
          </w:tcPr>
          <w:p w14:paraId="55E2F66A">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能够解决生产过程中出现的实际工艺和质量问题</w:t>
            </w:r>
            <w:r>
              <w:rPr>
                <w:rFonts w:hint="eastAsia" w:asciiTheme="minorEastAsia" w:hAnsiTheme="minorEastAsia" w:eastAsiaTheme="minorEastAsia" w:cstheme="minorEastAsia"/>
                <w:i w:val="0"/>
                <w:iCs w:val="0"/>
                <w:color w:val="auto"/>
                <w:kern w:val="0"/>
                <w:sz w:val="18"/>
                <w:szCs w:val="18"/>
                <w:lang w:val="en-US" w:eastAsia="zh-CN" w:bidi="ar"/>
              </w:rPr>
              <w:t>；</w:t>
            </w:r>
          </w:p>
          <w:p w14:paraId="65405901">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能完成方案设计、技术改进、评估审核等工作任务</w:t>
            </w:r>
            <w:r>
              <w:rPr>
                <w:rFonts w:hint="eastAsia" w:asciiTheme="minorEastAsia" w:hAnsiTheme="minorEastAsia" w:eastAsiaTheme="minorEastAsia" w:cstheme="minorEastAsia"/>
                <w:i w:val="0"/>
                <w:iCs w:val="0"/>
                <w:color w:val="auto"/>
                <w:kern w:val="0"/>
                <w:sz w:val="18"/>
                <w:szCs w:val="18"/>
                <w:lang w:val="en-US" w:eastAsia="zh-CN" w:bidi="ar"/>
              </w:rPr>
              <w:t>；</w:t>
            </w:r>
          </w:p>
          <w:p w14:paraId="791FE05F">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勤奋踏实的工作态度，清晰敏锐的思维能力、锐意进取的创新意识与善于协作的团队精神；</w:t>
            </w:r>
          </w:p>
          <w:p w14:paraId="79A4852B">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4.</w:t>
            </w:r>
            <w:r>
              <w:rPr>
                <w:rFonts w:hint="eastAsia" w:asciiTheme="minorEastAsia" w:hAnsiTheme="minorEastAsia" w:cstheme="minorEastAsia"/>
                <w:i w:val="0"/>
                <w:iCs w:val="0"/>
                <w:color w:val="auto"/>
                <w:kern w:val="0"/>
                <w:sz w:val="18"/>
                <w:szCs w:val="18"/>
                <w:lang w:val="en-US" w:eastAsia="zh-CN" w:bidi="ar"/>
              </w:rPr>
              <w:t>富有激情，良好的学习能力、团队协作精神</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1798" w:type="dxa"/>
            <w:noWrap w:val="0"/>
            <w:vAlign w:val="top"/>
          </w:tcPr>
          <w:p w14:paraId="723CB56E">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yellow"/>
                <w:lang w:val="en-US" w:eastAsia="zh-CN" w:bidi="ar"/>
              </w:rPr>
            </w:pPr>
            <w:r>
              <w:rPr>
                <w:rFonts w:hint="eastAsia" w:ascii="Times New Roman" w:hAnsi="Times New Roman" w:eastAsia="宋体" w:cs="Times New Roman"/>
                <w:color w:val="auto"/>
                <w:kern w:val="2"/>
                <w:sz w:val="18"/>
                <w:szCs w:val="18"/>
                <w:highlight w:val="none"/>
                <w:lang w:val="en-US" w:eastAsia="zh-CN" w:bidi="ar-SA"/>
              </w:rPr>
              <w:t>汽车构造、</w:t>
            </w:r>
            <w:r>
              <w:rPr>
                <w:rFonts w:hint="eastAsia" w:ascii="Times New Roman" w:hAnsi="Times New Roman" w:eastAsia="宋体" w:cs="Times New Roman"/>
                <w:color w:val="auto"/>
                <w:sz w:val="18"/>
                <w:szCs w:val="18"/>
                <w:highlight w:val="none"/>
                <w:lang w:val="en-US" w:eastAsia="zh-CN"/>
              </w:rPr>
              <w:t>新能源汽车驱动电机及控制技术、新能源汽车整车控制技术</w:t>
            </w:r>
          </w:p>
        </w:tc>
      </w:tr>
      <w:tr w14:paraId="5A3C9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710" w:type="dxa"/>
            <w:noWrap w:val="0"/>
            <w:vAlign w:val="center"/>
          </w:tcPr>
          <w:p w14:paraId="20E63BEC">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5</w:t>
            </w:r>
          </w:p>
        </w:tc>
        <w:tc>
          <w:tcPr>
            <w:tcW w:w="1035" w:type="dxa"/>
            <w:noWrap w:val="0"/>
            <w:vAlign w:val="center"/>
          </w:tcPr>
          <w:p w14:paraId="7120F291">
            <w:pPr>
              <w:keepNext w:val="0"/>
              <w:keepLines w:val="0"/>
              <w:pageBreakBefore w:val="0"/>
              <w:widowControl/>
              <w:suppressLineNumbers w:val="0"/>
              <w:wordWrap/>
              <w:topLinePunct w:val="0"/>
              <w:bidi w:val="0"/>
              <w:spacing w:line="240" w:lineRule="auto"/>
              <w:ind w:left="0" w:right="0"/>
              <w:jc w:val="center"/>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cstheme="minorEastAsia"/>
                <w:i w:val="0"/>
                <w:iCs w:val="0"/>
                <w:color w:val="auto"/>
                <w:sz w:val="18"/>
                <w:szCs w:val="18"/>
                <w:lang w:val="en-US" w:eastAsia="zh-CN"/>
              </w:rPr>
              <w:t>新能源汽车售后服务经理</w:t>
            </w:r>
          </w:p>
        </w:tc>
        <w:tc>
          <w:tcPr>
            <w:tcW w:w="2409" w:type="dxa"/>
            <w:noWrap w:val="0"/>
            <w:vAlign w:val="center"/>
          </w:tcPr>
          <w:p w14:paraId="1E80ECCE">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制定公司新能源汽车售后维护保养技术</w:t>
            </w:r>
            <w:r>
              <w:rPr>
                <w:rFonts w:hint="eastAsia" w:asciiTheme="minorEastAsia" w:hAnsiTheme="minorEastAsia" w:eastAsiaTheme="minorEastAsia" w:cstheme="minorEastAsia"/>
                <w:i w:val="0"/>
                <w:iCs w:val="0"/>
                <w:color w:val="auto"/>
                <w:kern w:val="0"/>
                <w:sz w:val="18"/>
                <w:szCs w:val="18"/>
                <w:lang w:val="en-US" w:eastAsia="zh-CN" w:bidi="ar"/>
              </w:rPr>
              <w:t>；</w:t>
            </w:r>
          </w:p>
          <w:p w14:paraId="4CAD3685">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负责定期的市场调研、市场信息的搜集整理，对顾客满意情况进行调查，并提出相应售后维护保养策略</w:t>
            </w:r>
            <w:r>
              <w:rPr>
                <w:rFonts w:hint="eastAsia" w:asciiTheme="minorEastAsia" w:hAnsiTheme="minorEastAsia" w:eastAsiaTheme="minorEastAsia" w:cstheme="minorEastAsia"/>
                <w:i w:val="0"/>
                <w:iCs w:val="0"/>
                <w:color w:val="auto"/>
                <w:kern w:val="0"/>
                <w:sz w:val="18"/>
                <w:szCs w:val="18"/>
                <w:lang w:val="en-US" w:eastAsia="zh-CN" w:bidi="ar"/>
              </w:rPr>
              <w:t>；</w:t>
            </w:r>
          </w:p>
          <w:p w14:paraId="0F44F92E">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负责新能源汽车从售前、交付和售后服务的工作协调</w:t>
            </w:r>
            <w:r>
              <w:rPr>
                <w:rFonts w:hint="eastAsia" w:asciiTheme="minorEastAsia" w:hAnsiTheme="minorEastAsia" w:eastAsiaTheme="minorEastAsia" w:cstheme="minorEastAsia"/>
                <w:i w:val="0"/>
                <w:iCs w:val="0"/>
                <w:color w:val="auto"/>
                <w:kern w:val="0"/>
                <w:sz w:val="18"/>
                <w:szCs w:val="18"/>
                <w:lang w:val="en-US" w:eastAsia="zh-CN" w:bidi="ar"/>
              </w:rPr>
              <w:t>。</w:t>
            </w:r>
          </w:p>
        </w:tc>
        <w:tc>
          <w:tcPr>
            <w:tcW w:w="3120" w:type="dxa"/>
            <w:noWrap w:val="0"/>
            <w:vAlign w:val="center"/>
          </w:tcPr>
          <w:p w14:paraId="04F13D50">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1.</w:t>
            </w:r>
            <w:r>
              <w:rPr>
                <w:rFonts w:hint="eastAsia" w:asciiTheme="minorEastAsia" w:hAnsiTheme="minorEastAsia" w:cstheme="minorEastAsia"/>
                <w:i w:val="0"/>
                <w:iCs w:val="0"/>
                <w:color w:val="auto"/>
                <w:kern w:val="0"/>
                <w:sz w:val="18"/>
                <w:szCs w:val="18"/>
                <w:lang w:val="en-US" w:eastAsia="zh-CN" w:bidi="ar"/>
              </w:rPr>
              <w:t>保持与客户的沟通和交流，维系客户关系</w:t>
            </w:r>
            <w:r>
              <w:rPr>
                <w:rFonts w:hint="eastAsia" w:asciiTheme="minorEastAsia" w:hAnsiTheme="minorEastAsia" w:eastAsiaTheme="minorEastAsia" w:cstheme="minorEastAsia"/>
                <w:i w:val="0"/>
                <w:iCs w:val="0"/>
                <w:color w:val="auto"/>
                <w:kern w:val="0"/>
                <w:sz w:val="18"/>
                <w:szCs w:val="18"/>
                <w:lang w:val="en-US" w:eastAsia="zh-CN" w:bidi="ar"/>
              </w:rPr>
              <w:t>；</w:t>
            </w:r>
          </w:p>
          <w:p w14:paraId="6BF2F17D">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2.</w:t>
            </w:r>
            <w:r>
              <w:rPr>
                <w:rFonts w:hint="eastAsia" w:asciiTheme="minorEastAsia" w:hAnsiTheme="minorEastAsia" w:cstheme="minorEastAsia"/>
                <w:i w:val="0"/>
                <w:iCs w:val="0"/>
                <w:color w:val="auto"/>
                <w:kern w:val="0"/>
                <w:sz w:val="18"/>
                <w:szCs w:val="18"/>
                <w:lang w:val="en-US" w:eastAsia="zh-CN" w:bidi="ar"/>
              </w:rPr>
              <w:t>具有良好的道德修养，品行端正</w:t>
            </w:r>
            <w:r>
              <w:rPr>
                <w:rFonts w:hint="eastAsia" w:asciiTheme="minorEastAsia" w:hAnsiTheme="minorEastAsia" w:eastAsiaTheme="minorEastAsia" w:cstheme="minorEastAsia"/>
                <w:i w:val="0"/>
                <w:iCs w:val="0"/>
                <w:color w:val="auto"/>
                <w:kern w:val="0"/>
                <w:sz w:val="18"/>
                <w:szCs w:val="18"/>
                <w:lang w:val="en-US" w:eastAsia="zh-CN" w:bidi="ar"/>
              </w:rPr>
              <w:t>；</w:t>
            </w:r>
          </w:p>
          <w:p w14:paraId="3A361691">
            <w:pPr>
              <w:keepNext w:val="0"/>
              <w:keepLines w:val="0"/>
              <w:pageBreakBefore w:val="0"/>
              <w:widowControl/>
              <w:suppressLineNumbers w:val="0"/>
              <w:wordWrap/>
              <w:topLinePunct w:val="0"/>
              <w:bidi w:val="0"/>
              <w:spacing w:line="240" w:lineRule="auto"/>
              <w:ind w:left="0" w:right="0"/>
              <w:jc w:val="both"/>
              <w:rPr>
                <w:rFonts w:hint="eastAsia" w:asciiTheme="minorEastAsia" w:hAnsiTheme="minorEastAsia" w:eastAsiaTheme="minorEastAsia" w:cstheme="minorEastAsia"/>
                <w:i w:val="0"/>
                <w:iCs w:val="0"/>
                <w:color w:val="auto"/>
                <w:kern w:val="0"/>
                <w:sz w:val="18"/>
                <w:szCs w:val="18"/>
                <w:lang w:val="en-US" w:eastAsia="zh-CN" w:bidi="ar"/>
              </w:rPr>
            </w:pPr>
            <w:r>
              <w:rPr>
                <w:rFonts w:hint="eastAsia" w:asciiTheme="minorEastAsia" w:hAnsiTheme="minorEastAsia" w:eastAsiaTheme="minorEastAsia" w:cstheme="minorEastAsia"/>
                <w:i w:val="0"/>
                <w:iCs w:val="0"/>
                <w:color w:val="auto"/>
                <w:kern w:val="0"/>
                <w:sz w:val="18"/>
                <w:szCs w:val="18"/>
                <w:lang w:val="en-US" w:eastAsia="zh-CN" w:bidi="ar"/>
              </w:rPr>
              <w:t>3.</w:t>
            </w:r>
            <w:r>
              <w:rPr>
                <w:rFonts w:hint="eastAsia" w:asciiTheme="minorEastAsia" w:hAnsiTheme="minorEastAsia" w:cstheme="minorEastAsia"/>
                <w:i w:val="0"/>
                <w:iCs w:val="0"/>
                <w:color w:val="auto"/>
                <w:kern w:val="0"/>
                <w:sz w:val="18"/>
                <w:szCs w:val="18"/>
                <w:lang w:val="en-US" w:eastAsia="zh-CN" w:bidi="ar"/>
              </w:rPr>
              <w:t>良好的沟通表达能力、学习能力与团队协作精神。</w:t>
            </w:r>
          </w:p>
        </w:tc>
        <w:tc>
          <w:tcPr>
            <w:tcW w:w="1798" w:type="dxa"/>
            <w:noWrap w:val="0"/>
            <w:vAlign w:val="top"/>
          </w:tcPr>
          <w:p w14:paraId="051BFAA2">
            <w:pPr>
              <w:keepNext w:val="0"/>
              <w:keepLines w:val="0"/>
              <w:pageBreakBefore w:val="0"/>
              <w:widowControl/>
              <w:suppressLineNumbers w:val="0"/>
              <w:wordWrap/>
              <w:topLinePunct w:val="0"/>
              <w:bidi w:val="0"/>
              <w:spacing w:line="240" w:lineRule="auto"/>
              <w:ind w:left="0" w:right="0"/>
              <w:jc w:val="left"/>
              <w:rPr>
                <w:rFonts w:hint="eastAsia" w:asciiTheme="minorEastAsia" w:hAnsiTheme="minorEastAsia" w:eastAsiaTheme="minorEastAsia" w:cstheme="minorEastAsia"/>
                <w:i w:val="0"/>
                <w:iCs w:val="0"/>
                <w:color w:val="auto"/>
                <w:kern w:val="0"/>
                <w:sz w:val="18"/>
                <w:szCs w:val="18"/>
                <w:highlight w:val="yellow"/>
                <w:lang w:val="en-US" w:eastAsia="zh-CN" w:bidi="ar"/>
              </w:rPr>
            </w:pPr>
            <w:r>
              <w:rPr>
                <w:rFonts w:hint="eastAsia" w:ascii="Times New Roman" w:hAnsi="Times New Roman" w:eastAsia="宋体" w:cs="Times New Roman"/>
                <w:color w:val="auto"/>
                <w:kern w:val="2"/>
                <w:sz w:val="18"/>
                <w:szCs w:val="18"/>
                <w:highlight w:val="none"/>
                <w:lang w:val="en-US" w:eastAsia="zh-CN" w:bidi="ar-SA"/>
              </w:rPr>
              <w:t>汽车构造、</w:t>
            </w:r>
            <w:r>
              <w:rPr>
                <w:rFonts w:hint="eastAsia" w:ascii="Times New Roman" w:hAnsi="Times New Roman" w:eastAsia="宋体" w:cs="Times New Roman"/>
                <w:color w:val="auto"/>
                <w:sz w:val="18"/>
                <w:szCs w:val="18"/>
                <w:lang w:val="en-US" w:eastAsia="zh-CN"/>
              </w:rPr>
              <w:t>新能源汽车电池及管理系统、新能源汽车综合性能检测与故障诊断</w:t>
            </w:r>
          </w:p>
        </w:tc>
      </w:tr>
    </w:tbl>
    <w:p w14:paraId="44916897">
      <w:pPr>
        <w:keepNext w:val="0"/>
        <w:keepLines w:val="0"/>
        <w:pageBreakBefore w:val="0"/>
        <w:wordWrap/>
        <w:topLinePunct w:val="0"/>
        <w:bidi w:val="0"/>
        <w:adjustRightInd w:val="0"/>
        <w:snapToGrid w:val="0"/>
        <w:spacing w:line="400" w:lineRule="exact"/>
        <w:ind w:left="0" w:right="0" w:firstLine="480" w:firstLineChars="200"/>
        <w:rPr>
          <w:rFonts w:ascii="黑体" w:hAnsi="黑体" w:eastAsia="黑体" w:cs="黑体"/>
          <w:bCs/>
          <w:sz w:val="24"/>
        </w:rPr>
      </w:pPr>
      <w:r>
        <w:rPr>
          <w:rFonts w:hint="eastAsia" w:ascii="黑体" w:hAnsi="黑体" w:eastAsia="黑体" w:cs="黑体"/>
          <w:bCs/>
          <w:sz w:val="24"/>
        </w:rPr>
        <w:t>五、培养目标及培养规格</w:t>
      </w:r>
    </w:p>
    <w:p w14:paraId="0BA8F4DE">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（一）培养目标</w:t>
      </w:r>
    </w:p>
    <w:p w14:paraId="347D0F93">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en-US" w:bidi="ar-SA"/>
        </w:rPr>
        <w:t>培养目标：</w:t>
      </w:r>
      <w:r>
        <w:rPr>
          <w:rFonts w:hint="eastAsia" w:ascii="宋体" w:hAnsi="宋体" w:eastAsia="宋体" w:cs="宋体"/>
          <w:b w:val="0"/>
          <w:bCs/>
          <w:kern w:val="2"/>
          <w:sz w:val="21"/>
          <w:szCs w:val="21"/>
          <w:lang w:val="en-US" w:eastAsia="zh-CN" w:bidi="ar-SA"/>
        </w:rPr>
        <w:t>本专业培养社会主义现代化建设和地方社会经济发展需要，理想信念坚定，德智体美劳全面发展，具有新能源汽车制造、维修、保险、理赔等方面的基本理论、基本知识和基本技能，具备新能源汽车技术专业能力，面向新能源汽车技术行业，在汽车制造人员、汽车技术维修服务人员等职业群，能够从事新能源汽车制造、维修及新能源汽车营销等方面的工作，具有良好职业道德，扎实理论基础，较强实践能力、创新创业意识和职业岗位能力的高素质技术技能人才。</w:t>
      </w:r>
    </w:p>
    <w:p w14:paraId="2435372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（二）培养规格</w:t>
      </w:r>
    </w:p>
    <w:p w14:paraId="3EEE837F">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en-US" w:bidi="ar-SA"/>
        </w:rPr>
        <w:t>本专业毕业生应在知识、能力和素质方面达到以下要求：</w:t>
      </w:r>
    </w:p>
    <w:p w14:paraId="3A72D47C">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en-US" w:bidi="ar-SA"/>
        </w:rPr>
        <w:t>知识要求</w:t>
      </w:r>
    </w:p>
    <w:p w14:paraId="5117138B">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en-US" w:bidi="ar-SA"/>
        </w:rPr>
        <w:t>掌握必备的自然科学和社会科学基础知识</w:t>
      </w:r>
      <w:r>
        <w:rPr>
          <w:rFonts w:hint="eastAsia" w:ascii="宋体" w:hAnsi="宋体" w:eastAsia="宋体" w:cs="宋体"/>
          <w:b w:val="0"/>
          <w:bCs/>
          <w:kern w:val="2"/>
          <w:sz w:val="21"/>
          <w:szCs w:val="21"/>
          <w:lang w:val="en-US" w:eastAsia="zh-CN" w:bidi="ar-SA"/>
        </w:rPr>
        <w:t>，熟悉本专业相关的法律法规以及环境保护、安全消防、文明生产等相关知识；</w:t>
      </w:r>
    </w:p>
    <w:p w14:paraId="26006C7F">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en-US" w:bidi="ar-SA"/>
        </w:rPr>
        <w:t>掌握本专业必需的</w:t>
      </w:r>
      <w:r>
        <w:rPr>
          <w:rFonts w:hint="eastAsia" w:ascii="宋体" w:hAnsi="宋体" w:eastAsia="宋体" w:cs="宋体"/>
          <w:b w:val="0"/>
          <w:bCs/>
          <w:kern w:val="2"/>
          <w:sz w:val="21"/>
          <w:szCs w:val="21"/>
          <w:lang w:val="en-US" w:eastAsia="zh-CN" w:bidi="ar-SA"/>
        </w:rPr>
        <w:t>新能源汽车结构、电工电子、电气设备、网络技术</w:t>
      </w:r>
      <w:r>
        <w:rPr>
          <w:rFonts w:hint="eastAsia" w:ascii="宋体" w:hAnsi="宋体" w:eastAsia="宋体" w:cs="宋体"/>
          <w:b w:val="0"/>
          <w:bCs/>
          <w:kern w:val="2"/>
          <w:sz w:val="21"/>
          <w:szCs w:val="21"/>
          <w:lang w:val="en-US" w:eastAsia="en-US" w:bidi="ar-SA"/>
        </w:rPr>
        <w:t>等专业基础知识</w:t>
      </w:r>
      <w:r>
        <w:rPr>
          <w:rFonts w:hint="eastAsia" w:ascii="宋体" w:hAnsi="宋体" w:eastAsia="宋体" w:cs="宋体"/>
          <w:b w:val="0"/>
          <w:bCs/>
          <w:kern w:val="2"/>
          <w:sz w:val="21"/>
          <w:szCs w:val="21"/>
          <w:lang w:val="en-US" w:eastAsia="zh-CN" w:bidi="ar-SA"/>
        </w:rPr>
        <w:t>；</w:t>
      </w:r>
    </w:p>
    <w:p w14:paraId="57FD665E">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en-US" w:bidi="ar-SA"/>
        </w:rPr>
        <w:t>掌握电机、动力电池管理系统、交直流充放电控制逻辑和上电控制逻辑知识</w:t>
      </w:r>
      <w:r>
        <w:rPr>
          <w:rFonts w:hint="eastAsia" w:ascii="宋体" w:hAnsi="宋体" w:eastAsia="宋体" w:cs="宋体"/>
          <w:b w:val="0"/>
          <w:bCs/>
          <w:kern w:val="2"/>
          <w:sz w:val="21"/>
          <w:szCs w:val="21"/>
          <w:lang w:val="en-US" w:eastAsia="zh-CN" w:bidi="ar-SA"/>
        </w:rPr>
        <w:t>；</w:t>
      </w:r>
    </w:p>
    <w:p w14:paraId="7E1794B1">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（4）掌握新能源汽车暖风和空调系统的控制原理；</w:t>
      </w:r>
    </w:p>
    <w:p w14:paraId="55ADAA76">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（5）掌握对汽车电气设备进行故障检测的基础理论知识，具备装配、检验和调试汽车主要总成的能力；</w:t>
      </w:r>
    </w:p>
    <w:p w14:paraId="25ACAB6E">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（6）具备新能源汽车销售的理论基础知识，了解国内外清洁能源汽车发展趋势。</w:t>
      </w:r>
    </w:p>
    <w:p w14:paraId="157D8F7B">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en-US" w:bidi="ar-SA"/>
        </w:rPr>
        <w:t>能力要求</w:t>
      </w:r>
    </w:p>
    <w:p w14:paraId="318E3548">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en-US" w:bidi="ar-SA"/>
        </w:rPr>
        <w:t>具备使用常用高压电作业检测设备工具进行高压断电、高压绝缘检测的能力；</w:t>
      </w:r>
    </w:p>
    <w:p w14:paraId="4CFB027D">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en-US" w:bidi="ar-SA"/>
        </w:rPr>
        <w:t>具备根据用户手册或保养手册要求进行新能源汽车维护的能力；</w:t>
      </w:r>
    </w:p>
    <w:p w14:paraId="452BE096">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en-US" w:bidi="ar-SA"/>
        </w:rPr>
        <w:t>具备进行新能源汽车暖风和空调系统的检测和组件更换的能力</w:t>
      </w:r>
      <w:r>
        <w:rPr>
          <w:rFonts w:hint="eastAsia" w:ascii="宋体" w:hAnsi="宋体" w:eastAsia="宋体" w:cs="宋体"/>
          <w:b w:val="0"/>
          <w:bCs/>
          <w:kern w:val="2"/>
          <w:sz w:val="21"/>
          <w:szCs w:val="21"/>
          <w:lang w:val="en-US" w:eastAsia="zh-CN" w:bidi="ar-SA"/>
        </w:rPr>
        <w:t>；</w:t>
      </w:r>
    </w:p>
    <w:p w14:paraId="23E5EAC3">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（4）</w:t>
      </w:r>
      <w:r>
        <w:rPr>
          <w:rFonts w:hint="eastAsia" w:ascii="宋体" w:hAnsi="宋体" w:eastAsia="宋体" w:cs="宋体"/>
          <w:b w:val="0"/>
          <w:bCs/>
          <w:kern w:val="2"/>
          <w:sz w:val="21"/>
          <w:szCs w:val="21"/>
          <w:lang w:val="en-US" w:eastAsia="en-US" w:bidi="ar-SA"/>
        </w:rPr>
        <w:t>具有进行新能源汽车CAN总线的检测和分析的能力；</w:t>
      </w:r>
    </w:p>
    <w:p w14:paraId="5108963E">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（5）</w:t>
      </w:r>
      <w:r>
        <w:rPr>
          <w:rFonts w:hint="eastAsia" w:ascii="宋体" w:hAnsi="宋体" w:eastAsia="宋体" w:cs="宋体"/>
          <w:b w:val="0"/>
          <w:bCs/>
          <w:kern w:val="2"/>
          <w:sz w:val="21"/>
          <w:szCs w:val="21"/>
          <w:lang w:val="en-US" w:eastAsia="en-US" w:bidi="ar-SA"/>
        </w:rPr>
        <w:t>具有进行新能源汽车故障码和数据流的分析的能力；</w:t>
      </w:r>
    </w:p>
    <w:p w14:paraId="0EBA254F">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（6）</w:t>
      </w:r>
      <w:r>
        <w:rPr>
          <w:rFonts w:hint="eastAsia" w:ascii="宋体" w:hAnsi="宋体" w:eastAsia="宋体" w:cs="宋体"/>
          <w:b w:val="0"/>
          <w:bCs/>
          <w:kern w:val="2"/>
          <w:sz w:val="21"/>
          <w:szCs w:val="21"/>
          <w:lang w:val="en-US" w:eastAsia="en-US" w:bidi="ar-SA"/>
        </w:rPr>
        <w:t>具有从事汽车保险投保、查勘和理赔业务的能力；</w:t>
      </w:r>
    </w:p>
    <w:p w14:paraId="34EC952B">
      <w:pPr>
        <w:keepNext w:val="0"/>
        <w:keepLines w:val="0"/>
        <w:pageBreakBefore w:val="0"/>
        <w:wordWrap/>
        <w:topLinePunct w:val="0"/>
        <w:bidi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（7）</w:t>
      </w:r>
      <w:r>
        <w:rPr>
          <w:rFonts w:hint="eastAsia" w:ascii="宋体" w:hAnsi="宋体" w:eastAsia="宋体" w:cs="宋体"/>
          <w:b w:val="0"/>
          <w:bCs/>
          <w:kern w:val="2"/>
          <w:sz w:val="21"/>
          <w:szCs w:val="21"/>
          <w:lang w:val="en-US" w:eastAsia="en-US" w:bidi="ar-SA"/>
        </w:rPr>
        <w:t>具有阅读有关技术资料，拓展学习本专业的新技术、新工艺、新设备、新材料、新方法和新标准，获取新知识的能力</w:t>
      </w:r>
      <w:r>
        <w:rPr>
          <w:rFonts w:hint="eastAsia" w:ascii="宋体" w:hAnsi="宋体" w:eastAsia="宋体" w:cs="宋体"/>
          <w:b w:val="0"/>
          <w:bCs/>
          <w:kern w:val="2"/>
          <w:sz w:val="21"/>
          <w:szCs w:val="21"/>
          <w:lang w:val="en-US" w:eastAsia="zh-CN" w:bidi="ar-SA"/>
        </w:rPr>
        <w:t>；</w:t>
      </w:r>
    </w:p>
    <w:p w14:paraId="49C4D6F0">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（8）</w:t>
      </w:r>
      <w:r>
        <w:rPr>
          <w:rFonts w:hint="eastAsia" w:ascii="宋体" w:hAnsi="宋体" w:eastAsia="宋体" w:cs="宋体"/>
          <w:b w:val="0"/>
          <w:bCs/>
          <w:kern w:val="2"/>
          <w:sz w:val="21"/>
          <w:szCs w:val="21"/>
          <w:lang w:val="en-US" w:eastAsia="en-US" w:bidi="ar-SA"/>
        </w:rPr>
        <w:t>具有职业生涯自我规划能力</w:t>
      </w:r>
      <w:r>
        <w:rPr>
          <w:rFonts w:hint="eastAsia" w:ascii="宋体" w:hAnsi="宋体" w:eastAsia="宋体" w:cs="宋体"/>
          <w:b w:val="0"/>
          <w:bCs/>
          <w:kern w:val="2"/>
          <w:sz w:val="21"/>
          <w:szCs w:val="21"/>
          <w:lang w:val="en-US" w:eastAsia="zh-CN" w:bidi="ar-SA"/>
        </w:rPr>
        <w:t>。</w:t>
      </w:r>
    </w:p>
    <w:p w14:paraId="04C592B1">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en-US" w:bidi="ar-SA"/>
        </w:rPr>
        <w:t>素质要求</w:t>
      </w:r>
    </w:p>
    <w:p w14:paraId="0EBD21CA">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en-US" w:bidi="ar-SA"/>
        </w:rPr>
        <w:t>具有正确的世界观、人生观和价值观，拥护中国共产党的领导</w:t>
      </w:r>
      <w:r>
        <w:rPr>
          <w:rFonts w:hint="eastAsia" w:ascii="宋体" w:hAnsi="宋体" w:eastAsia="宋体" w:cs="宋体"/>
          <w:b w:val="0"/>
          <w:bCs/>
          <w:kern w:val="2"/>
          <w:sz w:val="21"/>
          <w:szCs w:val="21"/>
          <w:lang w:val="en-US" w:eastAsia="zh-CN" w:bidi="ar-SA"/>
        </w:rPr>
        <w:t>；</w:t>
      </w:r>
    </w:p>
    <w:p w14:paraId="178BC7AA">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（2）遵纪守法，艰苦奋斗，热爱劳动；</w:t>
      </w:r>
    </w:p>
    <w:p w14:paraId="102BE751">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en-US" w:bidi="ar-SA"/>
        </w:rPr>
        <w:t>具备良好的科学人文素养、较强的创新精神、良好的心理素质和健康的体魄</w:t>
      </w:r>
      <w:r>
        <w:rPr>
          <w:rFonts w:hint="eastAsia" w:ascii="宋体" w:hAnsi="宋体" w:eastAsia="宋体" w:cs="宋体"/>
          <w:b w:val="0"/>
          <w:bCs/>
          <w:kern w:val="2"/>
          <w:sz w:val="21"/>
          <w:szCs w:val="21"/>
          <w:lang w:val="en-US" w:eastAsia="zh-CN" w:bidi="ar-SA"/>
        </w:rPr>
        <w:t>；</w:t>
      </w:r>
    </w:p>
    <w:p w14:paraId="70DE2232">
      <w:pPr>
        <w:pStyle w:val="16"/>
        <w:keepNext w:val="0"/>
        <w:keepLines w:val="0"/>
        <w:pageBreakBefore w:val="0"/>
        <w:wordWrap/>
        <w:topLinePunct w:val="0"/>
        <w:bidi w:val="0"/>
        <w:spacing w:before="0" w:after="0" w:line="400" w:lineRule="exact"/>
        <w:ind w:left="0" w:right="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w:t>
      </w:r>
      <w:r>
        <w:rPr>
          <w:rFonts w:hint="eastAsia" w:ascii="宋体" w:hAnsi="宋体" w:eastAsia="宋体" w:cs="宋体"/>
          <w:b w:val="0"/>
          <w:bCs/>
          <w:kern w:val="2"/>
          <w:sz w:val="21"/>
          <w:szCs w:val="21"/>
          <w:lang w:val="en-US" w:eastAsia="en-US" w:bidi="ar-SA"/>
        </w:rPr>
        <w:t>具有高度的社会责任感和使命感、团队协作精神</w:t>
      </w:r>
      <w:r>
        <w:rPr>
          <w:rFonts w:hint="eastAsia" w:ascii="宋体" w:hAnsi="宋体" w:eastAsia="宋体" w:cs="宋体"/>
          <w:b w:val="0"/>
          <w:bCs/>
          <w:kern w:val="2"/>
          <w:sz w:val="21"/>
          <w:szCs w:val="21"/>
          <w:lang w:val="en-US" w:eastAsia="zh-CN" w:bidi="ar-SA"/>
        </w:rPr>
        <w:t>。</w:t>
      </w:r>
    </w:p>
    <w:p w14:paraId="6C199CD6">
      <w:pPr>
        <w:keepNext w:val="0"/>
        <w:keepLines w:val="0"/>
        <w:pageBreakBefore w:val="0"/>
        <w:wordWrap/>
        <w:topLinePunct w:val="0"/>
        <w:bidi w:val="0"/>
        <w:adjustRightInd w:val="0"/>
        <w:snapToGrid w:val="0"/>
        <w:spacing w:line="400" w:lineRule="exact"/>
        <w:ind w:left="0" w:right="0" w:firstLine="480" w:firstLineChars="200"/>
        <w:rPr>
          <w:rFonts w:hint="eastAsia" w:ascii="黑体" w:hAnsi="黑体" w:eastAsia="黑体" w:cs="黑体"/>
          <w:bCs/>
          <w:sz w:val="24"/>
        </w:rPr>
      </w:pPr>
      <w:bookmarkStart w:id="15" w:name="_Toc8440"/>
      <w:r>
        <w:rPr>
          <w:rFonts w:hint="eastAsia" w:ascii="黑体" w:hAnsi="黑体" w:eastAsia="黑体" w:cs="黑体"/>
          <w:bCs/>
          <w:sz w:val="24"/>
        </w:rPr>
        <w:t>六、</w:t>
      </w:r>
      <w:bookmarkEnd w:id="15"/>
      <w:r>
        <w:rPr>
          <w:rFonts w:hint="eastAsia" w:ascii="黑体" w:hAnsi="黑体" w:eastAsia="黑体" w:cs="黑体"/>
          <w:bCs/>
          <w:sz w:val="24"/>
        </w:rPr>
        <w:t>课程设置及要求</w:t>
      </w:r>
    </w:p>
    <w:p w14:paraId="7C43C4E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（一）公共基础课程</w:t>
      </w:r>
    </w:p>
    <w:p w14:paraId="4DAC6DFB">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en-US" w:bidi="ar-SA"/>
        </w:rPr>
        <w:t>包括《思想道德与法治》《毛泽东思想和中国特色社会主义理论体系概论》《习近平新时代中国特色社会主义思想概论》《形势与政策》《军事理论》《军事技能》《大学英语》《</w:t>
      </w:r>
      <w:r>
        <w:rPr>
          <w:rFonts w:hint="eastAsia" w:ascii="宋体" w:hAnsi="宋体" w:eastAsia="宋体" w:cs="宋体"/>
          <w:b w:val="0"/>
          <w:bCs/>
          <w:kern w:val="2"/>
          <w:sz w:val="21"/>
          <w:szCs w:val="21"/>
          <w:lang w:val="en-US" w:eastAsia="zh-CN" w:bidi="ar-SA"/>
        </w:rPr>
        <w:t>大学语文</w:t>
      </w:r>
      <w:r>
        <w:rPr>
          <w:rFonts w:hint="eastAsia" w:ascii="宋体" w:hAnsi="宋体" w:eastAsia="宋体" w:cs="宋体"/>
          <w:b w:val="0"/>
          <w:bCs/>
          <w:kern w:val="2"/>
          <w:sz w:val="21"/>
          <w:szCs w:val="21"/>
          <w:lang w:val="en-US" w:eastAsia="en-US" w:bidi="ar-SA"/>
        </w:rPr>
        <w:t>》</w:t>
      </w:r>
      <w:r>
        <w:rPr>
          <w:rFonts w:hint="eastAsia" w:ascii="宋体" w:hAnsi="宋体" w:eastAsia="宋体" w:cs="宋体"/>
          <w:b w:val="0"/>
          <w:bCs/>
          <w:kern w:val="2"/>
          <w:sz w:val="21"/>
          <w:szCs w:val="21"/>
          <w:lang w:val="en-US" w:eastAsia="zh-CN" w:bidi="ar-SA"/>
        </w:rPr>
        <w:t>《高等数学</w:t>
      </w:r>
      <w:r>
        <w:rPr>
          <w:rFonts w:hint="default" w:ascii="宋体" w:hAnsi="宋体" w:eastAsia="宋体" w:cs="宋体"/>
          <w:b w:val="0"/>
          <w:bCs/>
          <w:kern w:val="2"/>
          <w:sz w:val="21"/>
          <w:szCs w:val="21"/>
          <w:lang w:val="en-US" w:eastAsia="zh-CN" w:bidi="ar-SA"/>
        </w:rPr>
        <w:t>A》</w:t>
      </w:r>
      <w:r>
        <w:rPr>
          <w:rFonts w:hint="default" w:ascii="宋体" w:hAnsi="宋体" w:eastAsia="宋体" w:cs="宋体"/>
          <w:b w:val="0"/>
          <w:bCs/>
          <w:kern w:val="2"/>
          <w:sz w:val="21"/>
          <w:szCs w:val="21"/>
          <w:lang w:val="en-US" w:eastAsia="en-US" w:bidi="ar-SA"/>
        </w:rPr>
        <w:t>《</w:t>
      </w:r>
      <w:r>
        <w:rPr>
          <w:rFonts w:hint="eastAsia" w:ascii="宋体" w:hAnsi="宋体" w:eastAsia="宋体" w:cs="宋体"/>
          <w:b w:val="0"/>
          <w:bCs/>
          <w:kern w:val="2"/>
          <w:sz w:val="21"/>
          <w:szCs w:val="21"/>
          <w:lang w:val="en-US" w:eastAsia="en-US" w:bidi="ar-SA"/>
        </w:rPr>
        <w:t>大学体育》《信息技术与人工智能基础》《大学生职业生涯规划》《</w:t>
      </w:r>
      <w:r>
        <w:rPr>
          <w:rFonts w:hint="eastAsia" w:ascii="宋体" w:hAnsi="宋体" w:eastAsia="宋体" w:cs="宋体"/>
          <w:b w:val="0"/>
          <w:bCs/>
          <w:kern w:val="2"/>
          <w:sz w:val="21"/>
          <w:szCs w:val="21"/>
          <w:lang w:val="en-US" w:eastAsia="zh-CN" w:bidi="ar-SA"/>
        </w:rPr>
        <w:t>创业基础</w:t>
      </w:r>
      <w:r>
        <w:rPr>
          <w:rFonts w:hint="eastAsia" w:ascii="宋体" w:hAnsi="宋体" w:eastAsia="宋体" w:cs="宋体"/>
          <w:b w:val="0"/>
          <w:bCs/>
          <w:kern w:val="2"/>
          <w:sz w:val="21"/>
          <w:szCs w:val="21"/>
          <w:lang w:val="en-US" w:eastAsia="en-US" w:bidi="ar-SA"/>
        </w:rPr>
        <w:t>》《就业指导》《国家安全教育》《</w:t>
      </w:r>
      <w:r>
        <w:rPr>
          <w:rFonts w:hint="eastAsia" w:ascii="宋体" w:hAnsi="宋体" w:eastAsia="宋体" w:cs="宋体"/>
          <w:b w:val="0"/>
          <w:bCs/>
          <w:kern w:val="2"/>
          <w:sz w:val="21"/>
          <w:szCs w:val="21"/>
          <w:lang w:val="en-US" w:eastAsia="zh-CN" w:bidi="ar-SA"/>
        </w:rPr>
        <w:t>大学生心理健康</w:t>
      </w:r>
      <w:r>
        <w:rPr>
          <w:rFonts w:hint="eastAsia" w:ascii="宋体" w:hAnsi="宋体" w:eastAsia="宋体" w:cs="宋体"/>
          <w:b w:val="0"/>
          <w:bCs/>
          <w:kern w:val="2"/>
          <w:sz w:val="21"/>
          <w:szCs w:val="21"/>
          <w:lang w:val="en-US" w:eastAsia="en-US" w:bidi="ar-SA"/>
        </w:rPr>
        <w:t>》《劳动</w:t>
      </w:r>
      <w:r>
        <w:rPr>
          <w:rFonts w:hint="eastAsia" w:ascii="宋体" w:hAnsi="宋体" w:eastAsia="宋体" w:cs="宋体"/>
          <w:b w:val="0"/>
          <w:bCs/>
          <w:kern w:val="2"/>
          <w:sz w:val="21"/>
          <w:szCs w:val="21"/>
          <w:lang w:val="en-US" w:eastAsia="zh-CN" w:bidi="ar-SA"/>
        </w:rPr>
        <w:t>教育</w:t>
      </w:r>
      <w:r>
        <w:rPr>
          <w:rFonts w:hint="eastAsia" w:ascii="宋体" w:hAnsi="宋体" w:eastAsia="宋体" w:cs="宋体"/>
          <w:b w:val="0"/>
          <w:bCs/>
          <w:kern w:val="2"/>
          <w:sz w:val="21"/>
          <w:szCs w:val="21"/>
          <w:lang w:val="en-US" w:eastAsia="en-US" w:bidi="ar-SA"/>
        </w:rPr>
        <w:t>》</w:t>
      </w:r>
      <w:r>
        <w:rPr>
          <w:rFonts w:hint="eastAsia" w:ascii="宋体" w:hAnsi="宋体" w:eastAsia="宋体" w:cs="宋体"/>
          <w:b w:val="0"/>
          <w:bCs/>
          <w:kern w:val="2"/>
          <w:sz w:val="21"/>
          <w:szCs w:val="21"/>
          <w:lang w:val="en-US" w:eastAsia="zh-CN" w:bidi="ar-SA"/>
        </w:rPr>
        <w:t>等22</w:t>
      </w:r>
      <w:r>
        <w:rPr>
          <w:rFonts w:hint="eastAsia" w:ascii="宋体" w:hAnsi="宋体" w:eastAsia="宋体" w:cs="宋体"/>
          <w:b w:val="0"/>
          <w:bCs/>
          <w:kern w:val="2"/>
          <w:sz w:val="21"/>
          <w:szCs w:val="21"/>
          <w:lang w:val="en-US" w:eastAsia="en-US" w:bidi="ar-SA"/>
        </w:rPr>
        <w:t>门课程，</w:t>
      </w:r>
      <w:r>
        <w:rPr>
          <w:rFonts w:hint="eastAsia" w:ascii="宋体" w:hAnsi="宋体" w:eastAsia="宋体" w:cs="宋体"/>
          <w:b w:val="0"/>
          <w:bCs/>
          <w:kern w:val="2"/>
          <w:sz w:val="21"/>
          <w:szCs w:val="21"/>
          <w:lang w:val="en-US" w:eastAsia="zh-CN" w:bidi="ar-SA"/>
        </w:rPr>
        <w:t>43.5</w:t>
      </w:r>
      <w:r>
        <w:rPr>
          <w:rFonts w:hint="eastAsia" w:ascii="宋体" w:hAnsi="宋体" w:eastAsia="宋体" w:cs="宋体"/>
          <w:b w:val="0"/>
          <w:bCs/>
          <w:kern w:val="2"/>
          <w:sz w:val="21"/>
          <w:szCs w:val="21"/>
          <w:lang w:val="en-US" w:eastAsia="en-US" w:bidi="ar-SA"/>
        </w:rPr>
        <w:t>学分。</w:t>
      </w:r>
    </w:p>
    <w:p w14:paraId="00830481">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kern w:val="2"/>
          <w:sz w:val="21"/>
          <w:szCs w:val="21"/>
          <w:lang w:val="en-US" w:eastAsia="zh-CN" w:bidi="ar"/>
        </w:rPr>
      </w:pPr>
      <w:r>
        <w:rPr>
          <w:rFonts w:hint="eastAsia" w:ascii="宋体" w:hAnsi="宋体" w:cs="宋体"/>
          <w:b/>
          <w:bCs w:val="0"/>
          <w:kern w:val="2"/>
          <w:sz w:val="21"/>
          <w:szCs w:val="21"/>
          <w:lang w:val="en-US" w:eastAsia="zh-CN" w:bidi="ar"/>
        </w:rPr>
        <w:t>1.思想道德与法治</w:t>
      </w:r>
    </w:p>
    <w:p w14:paraId="4B02DF81">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5A46EBC5">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lang w:val="en-US" w:eastAsia="en-US" w:bidi="ar-SA"/>
        </w:rPr>
      </w:pP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掌握马克思主义人生观、价值观、道德观和法治观理论，把新中国成立至党的十八大前夕中国交通发展的情况、地位及发挥的作用融入至不同模块的理论知识的讲解中，使学生对正确的人生观、崇高的理想信念、中国精神、社会主义核心价值观、社会主义道德核心与原则、中华传统美德和中国革命道德、人类优秀道德成果、公民道德准则、交通精神谱系及习近平法治思想的核心要义、我国社会主义宪法和有关法律的基本精神和主要规定、社会主义法律的本质特征和运行机制等有一个整体把握。</w:t>
      </w:r>
    </w:p>
    <w:p w14:paraId="58D32901">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通过学习，使学生能够运用马克思主义人生观、价值观、道德观和法治观理论正确分析人生历程中的各种矛盾，对人生矛盾有的正确的态度和科学的处理办法；具有较高的自觉践行社会主义核心价值观的能力，并能自觉将远大理想与对祖国的高度责任感、使命感结合起来，具备“逢山开路、遇水架桥”的交通精神，坚定信仰信念信心；能主动探究现实生活中的道德问题，具备明辨是非善恶的能力，自觉砥砺品行；有较高的培养法治思维的能力，尊重和维护法律权威，依法行使权利与履行义务，努力做尊法学法守法用法的模范，最终学生能够独立完成实践活动的设计、组织、管理和参与，具有较高的组织各种活动的一般能力（观察力、记忆力、思维力、创新力、想象力等）和特殊能力（组织能力、管理能力、专业能力等）。</w:t>
      </w:r>
    </w:p>
    <w:p w14:paraId="12C4DE6A">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通过学习学生具备科学的人文素养、勇敢的批判精神和与时俱进的创新精神，对形形色色的价值观具有独立的思考能力和判断能力，使社会主义核心价值观内化于心、外化于行；具有认真、严谨、求实、敬业的工作态度和学习态度，具有换位思考的宽容精神、互利共赢的合作精神，廉洁自律、爱岗敬业的职业操守，明大德、守公德、严私德；具备交通人解放思想、实事求是、开拓创新、锐意进取、求真务实的精神品质；具有较高的法治素养，尊重法律权威、养成守法习惯、提高用法能力、守住法律底线，成为尊法学法守法用法的先锋。</w:t>
      </w:r>
    </w:p>
    <w:p w14:paraId="07460094">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223BFD6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宋体" w:hAnsi="宋体" w:eastAsia="宋体" w:cs="宋体"/>
          <w:b w:val="0"/>
          <w:bCs/>
          <w:kern w:val="2"/>
          <w:sz w:val="21"/>
          <w:szCs w:val="21"/>
          <w:lang w:val="en-US" w:eastAsia="en-US" w:bidi="ar-SA"/>
        </w:rPr>
      </w:pPr>
      <w:r>
        <w:rPr>
          <w:rFonts w:hint="eastAsia" w:ascii="宋体" w:hAnsi="宋体" w:eastAsia="宋体" w:cs="宋体"/>
          <w:b w:val="0"/>
          <w:bCs/>
          <w:kern w:val="2"/>
          <w:sz w:val="21"/>
          <w:szCs w:val="21"/>
          <w:lang w:val="en-US" w:eastAsia="zh-CN" w:bidi="ar-SA"/>
        </w:rPr>
        <w:t>《思想道德与法治》是一门融思想性、政治性、科学性、理论性、实践性于一体的思想政治理论课，是高校思想政治理论课的必修课程，理论学时</w:t>
      </w:r>
      <w:r>
        <w:rPr>
          <w:rFonts w:hint="default" w:ascii="宋体" w:hAnsi="宋体" w:eastAsia="宋体" w:cs="宋体"/>
          <w:b w:val="0"/>
          <w:bCs/>
          <w:kern w:val="2"/>
          <w:sz w:val="21"/>
          <w:szCs w:val="21"/>
          <w:lang w:val="en-US" w:eastAsia="zh-CN" w:bidi="ar-SA"/>
        </w:rPr>
        <w:t>40</w:t>
      </w:r>
      <w:r>
        <w:rPr>
          <w:rFonts w:hint="eastAsia" w:ascii="宋体" w:hAnsi="宋体" w:eastAsia="宋体" w:cs="宋体"/>
          <w:b w:val="0"/>
          <w:bCs/>
          <w:kern w:val="2"/>
          <w:sz w:val="21"/>
          <w:szCs w:val="21"/>
          <w:lang w:val="en-US" w:eastAsia="zh-CN" w:bidi="ar-SA"/>
        </w:rPr>
        <w:t>，实践学时</w:t>
      </w:r>
      <w:r>
        <w:rPr>
          <w:rFonts w:hint="default" w:ascii="宋体" w:hAnsi="宋体" w:eastAsia="宋体" w:cs="宋体"/>
          <w:b w:val="0"/>
          <w:bCs/>
          <w:kern w:val="2"/>
          <w:sz w:val="21"/>
          <w:szCs w:val="21"/>
          <w:lang w:val="en-US" w:eastAsia="zh-CN" w:bidi="ar-SA"/>
        </w:rPr>
        <w:t>8</w:t>
      </w:r>
      <w:r>
        <w:rPr>
          <w:rFonts w:hint="eastAsia" w:ascii="宋体" w:hAnsi="宋体" w:eastAsia="宋体" w:cs="宋体"/>
          <w:b w:val="0"/>
          <w:bCs/>
          <w:kern w:val="2"/>
          <w:sz w:val="21"/>
          <w:szCs w:val="21"/>
          <w:lang w:val="en-US" w:eastAsia="zh-CN" w:bidi="ar-SA"/>
        </w:rPr>
        <w:t>。本课程由绪论和六个章节组成，共分为三个教学模块，分别是思想教育模块、道德教育模块和法治教育模块。（</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）担当复兴大任，成就时代新人；（</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）领悟人生真谛，把握人生方向；（</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）追求远大理想，坚定崇高信念；（</w:t>
      </w:r>
      <w:r>
        <w:rPr>
          <w:rFonts w:hint="default" w:ascii="宋体" w:hAnsi="宋体" w:eastAsia="宋体" w:cs="宋体"/>
          <w:b w:val="0"/>
          <w:bCs/>
          <w:kern w:val="2"/>
          <w:sz w:val="21"/>
          <w:szCs w:val="21"/>
          <w:lang w:val="en-US" w:eastAsia="zh-CN" w:bidi="ar-SA"/>
        </w:rPr>
        <w:t>4</w:t>
      </w:r>
      <w:r>
        <w:rPr>
          <w:rFonts w:hint="eastAsia" w:ascii="宋体" w:hAnsi="宋体" w:eastAsia="宋体" w:cs="宋体"/>
          <w:b w:val="0"/>
          <w:bCs/>
          <w:kern w:val="2"/>
          <w:sz w:val="21"/>
          <w:szCs w:val="21"/>
          <w:lang w:val="en-US" w:eastAsia="zh-CN" w:bidi="ar-SA"/>
        </w:rPr>
        <w:t>）继承优良传统，弘扬中国精神；（</w:t>
      </w:r>
      <w:r>
        <w:rPr>
          <w:rFonts w:hint="default" w:ascii="宋体" w:hAnsi="宋体" w:eastAsia="宋体" w:cs="宋体"/>
          <w:b w:val="0"/>
          <w:bCs/>
          <w:kern w:val="2"/>
          <w:sz w:val="21"/>
          <w:szCs w:val="21"/>
          <w:lang w:val="en-US" w:eastAsia="zh-CN" w:bidi="ar-SA"/>
        </w:rPr>
        <w:t>5</w:t>
      </w:r>
      <w:r>
        <w:rPr>
          <w:rFonts w:hint="eastAsia" w:ascii="宋体" w:hAnsi="宋体" w:eastAsia="宋体" w:cs="宋体"/>
          <w:b w:val="0"/>
          <w:bCs/>
          <w:kern w:val="2"/>
          <w:sz w:val="21"/>
          <w:szCs w:val="21"/>
          <w:lang w:val="en-US" w:eastAsia="zh-CN" w:bidi="ar-SA"/>
        </w:rPr>
        <w:t>）明确价值要求，践行价值准则；（</w:t>
      </w:r>
      <w:r>
        <w:rPr>
          <w:rFonts w:hint="default" w:ascii="宋体" w:hAnsi="宋体" w:eastAsia="宋体" w:cs="宋体"/>
          <w:b w:val="0"/>
          <w:bCs/>
          <w:kern w:val="2"/>
          <w:sz w:val="21"/>
          <w:szCs w:val="21"/>
          <w:lang w:val="en-US" w:eastAsia="zh-CN" w:bidi="ar-SA"/>
        </w:rPr>
        <w:t>6</w:t>
      </w:r>
      <w:r>
        <w:rPr>
          <w:rFonts w:hint="eastAsia" w:ascii="宋体" w:hAnsi="宋体" w:eastAsia="宋体" w:cs="宋体"/>
          <w:b w:val="0"/>
          <w:bCs/>
          <w:kern w:val="2"/>
          <w:sz w:val="21"/>
          <w:szCs w:val="21"/>
          <w:lang w:val="en-US" w:eastAsia="zh-CN" w:bidi="ar-SA"/>
        </w:rPr>
        <w:t>）遵守道德规范，锤炼道德品格；（</w:t>
      </w:r>
      <w:r>
        <w:rPr>
          <w:rFonts w:hint="default" w:ascii="宋体" w:hAnsi="宋体" w:eastAsia="宋体" w:cs="宋体"/>
          <w:b w:val="0"/>
          <w:bCs/>
          <w:kern w:val="2"/>
          <w:sz w:val="21"/>
          <w:szCs w:val="21"/>
          <w:lang w:val="en-US" w:eastAsia="zh-CN" w:bidi="ar-SA"/>
        </w:rPr>
        <w:t>7</w:t>
      </w:r>
      <w:r>
        <w:rPr>
          <w:rFonts w:hint="eastAsia" w:ascii="宋体" w:hAnsi="宋体" w:eastAsia="宋体" w:cs="宋体"/>
          <w:b w:val="0"/>
          <w:bCs/>
          <w:kern w:val="2"/>
          <w:sz w:val="21"/>
          <w:szCs w:val="21"/>
          <w:lang w:val="en-US" w:eastAsia="zh-CN" w:bidi="ar-SA"/>
        </w:rPr>
        <w:t>）学习法治思想，提升法治素养。</w:t>
      </w:r>
    </w:p>
    <w:p w14:paraId="12D36128">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721E28C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宋体" w:hAnsi="宋体" w:eastAsia="宋体" w:cs="宋体"/>
          <w:b w:val="0"/>
          <w:bCs/>
          <w:kern w:val="2"/>
          <w:sz w:val="21"/>
          <w:szCs w:val="21"/>
          <w:lang w:val="en-US" w:eastAsia="en-US" w:bidi="ar-SA"/>
        </w:rPr>
      </w:pP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教师要求：教师要具备较高的专业理论素养，熟知教材理论内容，具备实践教学能力，符合“六要”要求。有较精湛的教学技能，能因材施教，根据不同专业学生进行有针对性的教学设计。教学设计一要根据教育教学大纲和学校教学计划进行，确保教学目标的达成；二要结合学生的实际情况和特点，确保教学内容和方法的有效性；三要具有科学性、系统性和规范性，确保教学流程的合理性和教学效果的显著性。能够将理论与专业实际相结合，教学效果良好。</w:t>
      </w:r>
    </w:p>
    <w:p w14:paraId="53F24CE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w:t>
      </w:r>
      <w:r>
        <w:rPr>
          <w:rFonts w:hint="default" w:ascii="宋体" w:hAnsi="宋体" w:eastAsia="宋体" w:cs="宋体"/>
          <w:b w:val="0"/>
          <w:bCs/>
          <w:kern w:val="2"/>
          <w:sz w:val="21"/>
          <w:szCs w:val="21"/>
          <w:lang w:val="en-US" w:eastAsia="zh-CN" w:bidi="ar-SA"/>
        </w:rPr>
        <w:t>教学条件</w:t>
      </w: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多媒体辅助课件，混合式教学，课内实践、马克思主义学院VR实验室等，提供与教学内容和教学方法相适应的学习条件和学习资源，以促进学生的参与和合作。</w:t>
      </w:r>
    </w:p>
    <w:p w14:paraId="39ABE21A">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（3）教学方</w:t>
      </w:r>
      <w:r>
        <w:rPr>
          <w:rFonts w:hint="eastAsia" w:ascii="宋体" w:hAnsi="宋体" w:eastAsia="宋体" w:cs="宋体"/>
          <w:b w:val="0"/>
          <w:bCs/>
          <w:kern w:val="2"/>
          <w:sz w:val="21"/>
          <w:szCs w:val="21"/>
          <w:lang w:val="en-US" w:eastAsia="zh-CN" w:bidi="ar-SA"/>
        </w:rPr>
        <w:t>法：</w:t>
      </w:r>
      <w:r>
        <w:rPr>
          <w:rFonts w:hint="default" w:ascii="宋体" w:hAnsi="宋体" w:eastAsia="宋体" w:cs="宋体"/>
          <w:b w:val="0"/>
          <w:bCs/>
          <w:kern w:val="2"/>
          <w:sz w:val="21"/>
          <w:szCs w:val="21"/>
          <w:lang w:val="en-US" w:eastAsia="zh-CN" w:bidi="ar-SA"/>
        </w:rPr>
        <w:t>理论讲授法、逻辑推演法、</w:t>
      </w:r>
      <w:r>
        <w:rPr>
          <w:rFonts w:hint="eastAsia" w:ascii="宋体" w:hAnsi="宋体" w:eastAsia="宋体" w:cs="宋体"/>
          <w:b w:val="0"/>
          <w:bCs/>
          <w:kern w:val="2"/>
          <w:sz w:val="21"/>
          <w:szCs w:val="21"/>
          <w:lang w:val="en-US" w:eastAsia="zh-CN" w:bidi="ar-SA"/>
        </w:rPr>
        <w:t>问题链式教学法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案例分析法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课堂讨论法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视频教学法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任务驱动法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情景式教学法</w:t>
      </w:r>
      <w:r>
        <w:rPr>
          <w:rFonts w:hint="default" w:ascii="宋体" w:hAnsi="宋体" w:eastAsia="宋体" w:cs="宋体"/>
          <w:b w:val="0"/>
          <w:bCs/>
          <w:kern w:val="2"/>
          <w:sz w:val="21"/>
          <w:szCs w:val="21"/>
          <w:lang w:val="en-US" w:eastAsia="zh-CN" w:bidi="ar-SA"/>
        </w:rPr>
        <w:t>等。</w:t>
      </w:r>
    </w:p>
    <w:p w14:paraId="433630EE">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w:t>
      </w:r>
      <w:r>
        <w:rPr>
          <w:rFonts w:hint="default" w:ascii="宋体" w:hAnsi="宋体" w:eastAsia="宋体" w:cs="宋体"/>
          <w:b w:val="0"/>
          <w:bCs/>
          <w:kern w:val="2"/>
          <w:sz w:val="21"/>
          <w:szCs w:val="21"/>
          <w:lang w:val="en-US" w:eastAsia="zh-CN" w:bidi="ar-SA"/>
        </w:rPr>
        <w:t>50%+</w:t>
      </w:r>
      <w:r>
        <w:rPr>
          <w:rFonts w:hint="eastAsia" w:ascii="宋体" w:hAnsi="宋体" w:eastAsia="宋体" w:cs="宋体"/>
          <w:b w:val="0"/>
          <w:bCs/>
          <w:kern w:val="2"/>
          <w:sz w:val="21"/>
          <w:szCs w:val="21"/>
          <w:lang w:val="en-US" w:eastAsia="zh-CN" w:bidi="ar-SA"/>
        </w:rPr>
        <w:t>期末考核</w:t>
      </w:r>
      <w:r>
        <w:rPr>
          <w:rFonts w:hint="default" w:ascii="宋体" w:hAnsi="宋体" w:eastAsia="宋体" w:cs="宋体"/>
          <w:b w:val="0"/>
          <w:bCs/>
          <w:kern w:val="2"/>
          <w:sz w:val="21"/>
          <w:szCs w:val="21"/>
          <w:lang w:val="en-US" w:eastAsia="zh-CN" w:bidi="ar-SA"/>
        </w:rPr>
        <w:t>50%</w:t>
      </w:r>
      <w:r>
        <w:rPr>
          <w:rFonts w:hint="eastAsia" w:ascii="宋体" w:hAnsi="宋体" w:eastAsia="宋体" w:cs="宋体"/>
          <w:b w:val="0"/>
          <w:bCs/>
          <w:kern w:val="2"/>
          <w:sz w:val="21"/>
          <w:szCs w:val="21"/>
          <w:lang w:val="en-US" w:eastAsia="zh-CN" w:bidi="ar-SA"/>
        </w:rPr>
        <w:t>。过程考核主要由以下三部分组成：①出勤情况、课堂纪律（</w:t>
      </w:r>
      <w:r>
        <w:rPr>
          <w:rFonts w:hint="default" w:ascii="宋体" w:hAnsi="宋体" w:eastAsia="宋体" w:cs="宋体"/>
          <w:b w:val="0"/>
          <w:bCs/>
          <w:kern w:val="2"/>
          <w:sz w:val="21"/>
          <w:szCs w:val="21"/>
          <w:lang w:val="en-US" w:eastAsia="zh-CN" w:bidi="ar-SA"/>
        </w:rPr>
        <w:t>20%</w:t>
      </w:r>
      <w:r>
        <w:rPr>
          <w:rFonts w:hint="eastAsia" w:ascii="宋体" w:hAnsi="宋体" w:eastAsia="宋体" w:cs="宋体"/>
          <w:b w:val="0"/>
          <w:bCs/>
          <w:kern w:val="2"/>
          <w:sz w:val="21"/>
          <w:szCs w:val="21"/>
          <w:lang w:val="en-US" w:eastAsia="zh-CN" w:bidi="ar-SA"/>
        </w:rPr>
        <w:t>）；②原著阅读（</w:t>
      </w:r>
      <w:r>
        <w:rPr>
          <w:rFonts w:hint="default" w:ascii="宋体" w:hAnsi="宋体" w:eastAsia="宋体" w:cs="宋体"/>
          <w:b w:val="0"/>
          <w:bCs/>
          <w:kern w:val="2"/>
          <w:sz w:val="21"/>
          <w:szCs w:val="21"/>
          <w:lang w:val="en-US" w:eastAsia="zh-CN" w:bidi="ar-SA"/>
        </w:rPr>
        <w:t>20%</w:t>
      </w:r>
      <w:r>
        <w:rPr>
          <w:rFonts w:hint="eastAsia" w:ascii="宋体" w:hAnsi="宋体" w:eastAsia="宋体" w:cs="宋体"/>
          <w:b w:val="0"/>
          <w:bCs/>
          <w:kern w:val="2"/>
          <w:sz w:val="21"/>
          <w:szCs w:val="21"/>
          <w:lang w:val="en-US" w:eastAsia="zh-CN" w:bidi="ar-SA"/>
        </w:rPr>
        <w:t>）；③实践作业（</w:t>
      </w:r>
      <w:r>
        <w:rPr>
          <w:rFonts w:hint="default" w:ascii="宋体" w:hAnsi="宋体" w:eastAsia="宋体" w:cs="宋体"/>
          <w:b w:val="0"/>
          <w:bCs/>
          <w:kern w:val="2"/>
          <w:sz w:val="21"/>
          <w:szCs w:val="21"/>
          <w:lang w:val="en-US" w:eastAsia="zh-CN" w:bidi="ar-SA"/>
        </w:rPr>
        <w:t>60%</w:t>
      </w:r>
      <w:r>
        <w:rPr>
          <w:rFonts w:hint="eastAsia" w:ascii="宋体" w:hAnsi="宋体" w:eastAsia="宋体" w:cs="宋体"/>
          <w:b w:val="0"/>
          <w:bCs/>
          <w:kern w:val="2"/>
          <w:sz w:val="21"/>
          <w:szCs w:val="21"/>
          <w:lang w:val="en-US" w:eastAsia="zh-CN" w:bidi="ar-SA"/>
        </w:rPr>
        <w:t>）。三部分成绩按比例折算为总成绩的</w:t>
      </w:r>
      <w:r>
        <w:rPr>
          <w:rFonts w:hint="default" w:ascii="宋体" w:hAnsi="宋体" w:eastAsia="宋体" w:cs="宋体"/>
          <w:b w:val="0"/>
          <w:bCs/>
          <w:kern w:val="2"/>
          <w:sz w:val="21"/>
          <w:szCs w:val="21"/>
          <w:lang w:val="en-US" w:eastAsia="zh-CN" w:bidi="ar-SA"/>
        </w:rPr>
        <w:t>50</w:t>
      </w:r>
      <w:r>
        <w:rPr>
          <w:rFonts w:hint="eastAsia" w:ascii="宋体" w:hAnsi="宋体" w:eastAsia="宋体" w:cs="宋体"/>
          <w:b w:val="0"/>
          <w:bCs/>
          <w:kern w:val="2"/>
          <w:sz w:val="21"/>
          <w:szCs w:val="21"/>
          <w:lang w:val="en-US" w:eastAsia="zh-CN" w:bidi="ar-SA"/>
        </w:rPr>
        <w:t>％。</w:t>
      </w:r>
    </w:p>
    <w:p w14:paraId="15A2537C">
      <w:pPr>
        <w:keepNext w:val="0"/>
        <w:keepLines w:val="0"/>
        <w:pageBreakBefore w:val="0"/>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cs="宋体"/>
          <w:b/>
          <w:bCs w:val="0"/>
          <w:szCs w:val="21"/>
          <w:lang w:val="en-US" w:eastAsia="zh-CN"/>
        </w:rPr>
        <w:t>2</w:t>
      </w:r>
      <w:r>
        <w:rPr>
          <w:rFonts w:hint="eastAsia" w:ascii="宋体" w:hAnsi="宋体" w:eastAsia="宋体" w:cs="宋体"/>
          <w:b/>
          <w:bCs w:val="0"/>
          <w:szCs w:val="21"/>
          <w:lang w:val="en-US" w:eastAsia="zh-CN"/>
        </w:rPr>
        <w:t>.</w:t>
      </w:r>
      <w:r>
        <w:rPr>
          <w:rFonts w:hint="eastAsia"/>
          <w:b/>
          <w:bCs w:val="0"/>
          <w:color w:val="auto"/>
          <w:spacing w:val="-4"/>
        </w:rPr>
        <w:t>毛</w:t>
      </w:r>
      <w:r>
        <w:rPr>
          <w:rFonts w:hint="eastAsia"/>
          <w:b/>
          <w:bCs/>
          <w:color w:val="auto"/>
          <w:spacing w:val="-4"/>
        </w:rPr>
        <w:t>泽东思想和中国特色社会主义理论体系概</w:t>
      </w:r>
      <w:r>
        <w:rPr>
          <w:rFonts w:hint="default"/>
          <w:b/>
          <w:bCs/>
          <w:color w:val="auto"/>
          <w:spacing w:val="-4"/>
        </w:rPr>
        <w:t>论</w:t>
      </w:r>
    </w:p>
    <w:p w14:paraId="6CD7288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kern w:val="2"/>
          <w:sz w:val="21"/>
          <w:szCs w:val="21"/>
          <w:lang w:val="en-US" w:eastAsia="zh-CN" w:bidi="ar"/>
        </w:rPr>
      </w:pPr>
      <w:r>
        <w:rPr>
          <w:rFonts w:hint="default" w:ascii="宋体" w:hAnsi="宋体" w:eastAsia="宋体" w:cs="宋体"/>
          <w:b/>
          <w:bCs w:val="0"/>
          <w:kern w:val="2"/>
          <w:sz w:val="21"/>
          <w:szCs w:val="21"/>
          <w:lang w:val="en-US" w:eastAsia="zh-CN" w:bidi="ar"/>
        </w:rPr>
        <w:t>课程目标：</w:t>
      </w:r>
    </w:p>
    <w:p w14:paraId="437C637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知识目标：深刻领会马克思主义中国化两次历史性飞跃的丰富内涵和精神实质，完整把握基本原理、基本观点和基本知识。把新中国成立至党的十八大前夕中国交通发展的情况、地位及发挥的作用融入至不同时期理论的讲解中，探寻其中蕴含的哲学思维。进而把马克思主义中国化的理论成果及其具体做法，作为一个一脉相承而又与时俱进的统一整体来把握，真正掌握马克思主义的立场、观点和方法，不断提高自身政治理论素养，增强走中国特色社会主义道路的坚定信念。</w:t>
      </w:r>
    </w:p>
    <w:p w14:paraId="1E8992A0">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能力目标：通过本课程的学习，能够运用马克思主义、毛泽东思想、中国特色社会主义理论体系的基本原理、观点、方法来正确分析、发现和解决社会现实问题，形成正确的思维方式。培养大学生综合运用哲学、社会学、所学专业等多学科知识的能力，了解国家历来对于交通方面建设的重视和发展，引导其明确专业发展趋势，自觉思考如何为国家的发展提升自己的专业能力。</w:t>
      </w:r>
    </w:p>
    <w:p w14:paraId="6C3D190B">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素质目标：学生的思想道德素质获得极大提高，充分理解马克思主义中国化时代化的重大意义，理解本课程理论的现实意义。了解从共产党成立到新时代中国的发展历程，从而自觉地继承和发扬中国人民的爱国主义传统和革命传统，进一步增强民族自尊心、自信心和自豪感，坚定对马克思主义的信仰、对中国共产党的信任、对社会主义的信心。更重要的是培养学生提升自身担当感和责任感，增强对国家和学校的认同感，增强自身团结意识，自觉将个人发展与国家发展联系起来。</w:t>
      </w:r>
    </w:p>
    <w:p w14:paraId="466537B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主要内容：</w:t>
      </w:r>
    </w:p>
    <w:p w14:paraId="7868BDEB">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马克思主义中国化时代化的历史进程与理论成果；（2）毛泽东思想及其历史地位；（3）新民主主义革命理论；（4）社会主义改造理论；（5）社会主义建设道路初步探索的理论成果；（6）中国特色社会主义理论体系的形成发展；（7）邓小平理论；（8）“三个代表”重要思想；（9）科学发展观。</w:t>
      </w:r>
    </w:p>
    <w:p w14:paraId="600364A9">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2" w:firstLineChars="200"/>
        <w:textAlignment w:val="auto"/>
        <w:rPr>
          <w:rFonts w:hint="default" w:ascii="宋体" w:hAnsi="宋体" w:eastAsia="宋体" w:cs="宋体"/>
          <w:b/>
          <w:bCs w:val="0"/>
          <w:szCs w:val="21"/>
          <w:lang w:eastAsia="zh-CN"/>
        </w:rPr>
      </w:pPr>
      <w:r>
        <w:rPr>
          <w:rFonts w:hint="default" w:ascii="宋体" w:hAnsi="宋体" w:eastAsia="宋体" w:cs="宋体"/>
          <w:b/>
          <w:bCs w:val="0"/>
          <w:szCs w:val="21"/>
          <w:lang w:val="en-US" w:eastAsia="zh-CN"/>
        </w:rPr>
        <w:t>教学要求：</w:t>
      </w:r>
    </w:p>
    <w:p w14:paraId="2161DFD4">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教师要求：具备较高的政治站位，随时了解时政新闻并具备基本的分析能力。熟知教材理论内容，既能讲出基本理论，还能分析理论提出的背景、原因及意义。能够将理论与专业实际相结合，做到因材施教。</w:t>
      </w:r>
    </w:p>
    <w:p w14:paraId="147E5E7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（2）教学条件：多媒体辅助课件，马克思主义学院VR实验室，超星学习通。</w:t>
      </w:r>
    </w:p>
    <w:p w14:paraId="5043CB7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教学方法：问题链式教学法，根据章节重难点内容，设计问题链，通过对问题链的讲解和探讨串联章节内容；案例教学法，注重授课内容相关度与学生关注度相结合，案例中应结合专业加入与国家交通发展相关的内容；讨论教学法，提出问题，学生组成小组发表观点；视频教学法，在官方媒体上下载一些纪录片，通过人工智能生成一些符合课程要求又能够提升课程趣味性的视频；任务驱动法，每节课都会给学生留思考题和阅读书目，让学生养成用马克思主义哲学思维探究问题的思维方法和实践方式。</w:t>
      </w:r>
    </w:p>
    <w:p w14:paraId="0DA1580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（4）考核评价：过程考核占50%+期末考核占50%。过程考核主要由以下三部分组成：①出勤情况、课堂纪律；②原著阅读；③实践作业。三部分的综合成绩折算为总成绩的50％。</w:t>
      </w:r>
    </w:p>
    <w:p w14:paraId="4948615C">
      <w:pPr>
        <w:keepNext w:val="0"/>
        <w:keepLines w:val="0"/>
        <w:pageBreakBefore w:val="0"/>
        <w:wordWrap/>
        <w:topLinePunct w:val="0"/>
        <w:bidi w:val="0"/>
        <w:adjustRightInd w:val="0"/>
        <w:snapToGrid w:val="0"/>
        <w:spacing w:line="400" w:lineRule="exact"/>
        <w:ind w:left="0" w:right="0" w:firstLine="422" w:firstLineChars="200"/>
        <w:rPr>
          <w:rFonts w:hint="eastAsia" w:ascii="宋体" w:hAnsi="宋体" w:eastAsia="宋体" w:cs="宋体"/>
          <w:bCs/>
          <w:szCs w:val="21"/>
          <w:lang w:val="en-US" w:eastAsia="zh-CN"/>
        </w:rPr>
      </w:pPr>
      <w:r>
        <w:rPr>
          <w:rFonts w:hint="eastAsia" w:ascii="宋体" w:hAnsi="宋体" w:cs="宋体"/>
          <w:b/>
          <w:bCs w:val="0"/>
          <w:szCs w:val="21"/>
          <w:lang w:val="en-US" w:eastAsia="zh-CN"/>
        </w:rPr>
        <w:t>3</w:t>
      </w:r>
      <w:r>
        <w:rPr>
          <w:rFonts w:hint="eastAsia" w:ascii="宋体" w:hAnsi="宋体" w:eastAsia="宋体" w:cs="宋体"/>
          <w:b/>
          <w:bCs w:val="0"/>
          <w:szCs w:val="21"/>
          <w:lang w:val="en-US" w:eastAsia="zh-CN"/>
        </w:rPr>
        <w:t>.</w:t>
      </w:r>
      <w:r>
        <w:rPr>
          <w:rFonts w:hint="eastAsia"/>
          <w:b/>
          <w:bCs w:val="0"/>
          <w:color w:val="auto"/>
          <w:spacing w:val="-4"/>
        </w:rPr>
        <w:t>习</w:t>
      </w:r>
      <w:r>
        <w:rPr>
          <w:rFonts w:hint="eastAsia"/>
          <w:b/>
          <w:bCs/>
          <w:color w:val="auto"/>
          <w:spacing w:val="-4"/>
        </w:rPr>
        <w:t>近平新时代中国特色社会主义思想概论</w:t>
      </w:r>
    </w:p>
    <w:p w14:paraId="6398B311">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lang w:val="en-US" w:eastAsia="zh-CN" w:bidi="ar"/>
        </w:rPr>
      </w:pPr>
      <w:r>
        <w:rPr>
          <w:rFonts w:hint="eastAsia" w:ascii="宋体" w:hAnsi="宋体" w:eastAsia="宋体" w:cs="宋体"/>
          <w:b/>
          <w:bCs w:val="0"/>
          <w:kern w:val="2"/>
          <w:sz w:val="21"/>
          <w:szCs w:val="21"/>
          <w:lang w:val="en-US" w:eastAsia="zh-CN" w:bidi="ar"/>
        </w:rPr>
        <w:t>课程目标：</w:t>
      </w:r>
    </w:p>
    <w:p w14:paraId="6D10212D">
      <w:pPr>
        <w:pStyle w:val="11"/>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left="0" w:right="0" w:rightChars="0" w:firstLine="420" w:firstLineChars="200"/>
        <w:jc w:val="both"/>
        <w:textAlignment w:val="baseline"/>
        <w:rPr>
          <w:rFonts w:hint="eastAsia"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引导学生系统学习习近平新时代中国特色社会主义思想，全面领会马克思主义中国化时代化新飞跃的科学涵义、形成发展过程、科学体系、历史地位、指导意义、基本观点及新时代中国特色社会主义现代化建设的路线、方针、政策，使大学生在学习过程中能够准确把握马克思主义中国化时代化的最新理论成果，对新时代中国特色社会主义建设过程中党的重大理论和实践创新有更加准确的认识，</w:t>
      </w:r>
      <w:r>
        <w:rPr>
          <w:rFonts w:hint="default" w:ascii="宋体" w:hAnsi="宋体" w:eastAsia="宋体" w:cs="宋体"/>
          <w:b w:val="0"/>
          <w:bCs/>
          <w:kern w:val="2"/>
          <w:sz w:val="21"/>
          <w:szCs w:val="21"/>
          <w:lang w:val="en-US" w:eastAsia="zh-CN" w:bidi="ar-SA"/>
        </w:rPr>
        <w:t>全面认识和把握新时代我国交通事业建设新成就，更加坚定</w:t>
      </w:r>
      <w:r>
        <w:rPr>
          <w:rFonts w:hint="eastAsia" w:ascii="宋体" w:hAnsi="宋体" w:eastAsia="宋体" w:cs="宋体"/>
          <w:b w:val="0"/>
          <w:bCs/>
          <w:kern w:val="2"/>
          <w:sz w:val="21"/>
          <w:szCs w:val="21"/>
          <w:lang w:val="en-US" w:eastAsia="zh-CN" w:bidi="ar-SA"/>
        </w:rPr>
        <w:t>对习近平新时代中国特色社会主义思想这一新时代党和国家事业发展的根本遵循和当代中国马克思主义、二十一世纪马克思主义有着更加透彻的理解和更加科学的运用。</w:t>
      </w:r>
    </w:p>
    <w:p w14:paraId="484C50CD">
      <w:pPr>
        <w:pStyle w:val="11"/>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left="0" w:right="0" w:rightChars="0" w:firstLine="420" w:firstLineChars="200"/>
        <w:jc w:val="both"/>
        <w:textAlignment w:val="baseline"/>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通过本课程的学习，能够运用习近平新时代中国特色社会主义思想的基本原理、观点、方法来正确分析和解决社会现实问题，把握目前的社会热点、最新政策动态、国际关系等，帮助学生形成正确的思维方式。掌握习近平新时代中国特色社会主义思想的基本精神、基本内容、基本要求，坚持不懈用习近平新时代中国特色社会主义思想武装头脑、指导</w:t>
      </w:r>
      <w:r>
        <w:rPr>
          <w:rFonts w:hint="default" w:ascii="宋体" w:hAnsi="宋体" w:eastAsia="宋体" w:cs="宋体"/>
          <w:b w:val="0"/>
          <w:bCs/>
          <w:kern w:val="2"/>
          <w:sz w:val="21"/>
          <w:szCs w:val="21"/>
          <w:lang w:val="en-US" w:eastAsia="zh-CN" w:bidi="ar-SA"/>
        </w:rPr>
        <w:t>社会主义现代化强国尤其是交通强国建设的</w:t>
      </w:r>
      <w:r>
        <w:rPr>
          <w:rFonts w:hint="eastAsia" w:ascii="宋体" w:hAnsi="宋体" w:eastAsia="宋体" w:cs="宋体"/>
          <w:b w:val="0"/>
          <w:bCs/>
          <w:kern w:val="2"/>
          <w:sz w:val="21"/>
          <w:szCs w:val="21"/>
          <w:lang w:val="en-US" w:eastAsia="zh-CN" w:bidi="ar-SA"/>
        </w:rPr>
        <w:t>实践。</w:t>
      </w:r>
      <w:r>
        <w:rPr>
          <w:rFonts w:hint="default" w:ascii="宋体" w:hAnsi="宋体" w:eastAsia="宋体" w:cs="宋体"/>
          <w:b w:val="0"/>
          <w:bCs/>
          <w:kern w:val="2"/>
          <w:sz w:val="21"/>
          <w:szCs w:val="21"/>
          <w:lang w:val="en-US" w:eastAsia="zh-CN" w:bidi="ar-SA"/>
        </w:rPr>
        <w:t>同时，能够善于从新思想的视角看待、分析我国交通事业的成就、未来发展等。</w:t>
      </w:r>
    </w:p>
    <w:p w14:paraId="2BBA0FEE">
      <w:pPr>
        <w:pStyle w:val="11"/>
        <w:keepNext w:val="0"/>
        <w:keepLines w:val="0"/>
        <w:pageBreakBefore w:val="0"/>
        <w:widowControl/>
        <w:numPr>
          <w:ilvl w:val="0"/>
          <w:numId w:val="0"/>
        </w:numPr>
        <w:suppressLineNumbers w:val="0"/>
        <w:kinsoku w:val="0"/>
        <w:wordWrap/>
        <w:overflowPunct/>
        <w:topLinePunct w:val="0"/>
        <w:autoSpaceDE w:val="0"/>
        <w:autoSpaceDN w:val="0"/>
        <w:bidi w:val="0"/>
        <w:adjustRightInd w:val="0"/>
        <w:snapToGrid w:val="0"/>
        <w:spacing w:beforeAutospacing="0" w:afterAutospacing="0" w:line="400" w:lineRule="exact"/>
        <w:ind w:left="0" w:leftChars="0" w:right="0" w:rightChars="0" w:firstLine="420" w:firstLineChars="200"/>
        <w:jc w:val="both"/>
        <w:textAlignment w:val="baseline"/>
        <w:rPr>
          <w:rFonts w:hint="eastAsia"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（3）素质目标</w:t>
      </w:r>
      <w:r>
        <w:rPr>
          <w:rFonts w:hint="eastAsia" w:ascii="宋体" w:hAnsi="宋体" w:eastAsia="宋体" w:cs="宋体"/>
          <w:b w:val="0"/>
          <w:bCs/>
          <w:kern w:val="2"/>
          <w:sz w:val="21"/>
          <w:szCs w:val="21"/>
          <w:lang w:val="en-US" w:eastAsia="zh-CN" w:bidi="ar-SA"/>
        </w:rPr>
        <w:t>：通过对习近平新时代中国特色社会主义思想概论的学习，增强大学生对“十个明确”“十四个坚持”“十三个方面成就”“六个必须坚持”等主要内容的高度认同</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以马克思主义中国化时代化最新理论成果为主线，依据大学生自身成长的特点和规律，教育和引导大学生，提高他们的政治理论素养，</w:t>
      </w:r>
      <w:r>
        <w:rPr>
          <w:rFonts w:hint="default" w:ascii="宋体" w:hAnsi="宋体" w:eastAsia="宋体" w:cs="宋体"/>
          <w:b w:val="0"/>
          <w:bCs/>
          <w:kern w:val="2"/>
          <w:sz w:val="21"/>
          <w:szCs w:val="21"/>
          <w:lang w:val="en-US" w:eastAsia="zh-CN" w:bidi="ar-SA"/>
        </w:rPr>
        <w:t>通过交通强国建设成效这一微视角，</w:t>
      </w:r>
      <w:r>
        <w:rPr>
          <w:rFonts w:hint="eastAsia" w:ascii="宋体" w:hAnsi="宋体" w:eastAsia="宋体" w:cs="宋体"/>
          <w:b w:val="0"/>
          <w:bCs/>
          <w:kern w:val="2"/>
          <w:sz w:val="21"/>
          <w:szCs w:val="21"/>
          <w:lang w:val="en-US" w:eastAsia="zh-CN" w:bidi="ar-SA"/>
        </w:rPr>
        <w:t>增强走中国特色社会主义道路的信念，坚定对以中国式现代化全面推进中华民族伟大复兴中国梦的信心。</w:t>
      </w:r>
    </w:p>
    <w:p w14:paraId="2DD0EA49">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46D92ACA">
      <w:pPr>
        <w:pStyle w:val="23"/>
        <w:keepNext w:val="0"/>
        <w:keepLines w:val="0"/>
        <w:pageBreakBefore w:val="0"/>
        <w:widowControl/>
        <w:wordWrap/>
        <w:topLinePunct w:val="0"/>
        <w:bidi w:val="0"/>
        <w:spacing w:before="0" w:after="0" w:line="400" w:lineRule="exact"/>
        <w:ind w:left="0" w:right="0" w:firstLine="460"/>
        <w:jc w:val="both"/>
        <w:rPr>
          <w:rFonts w:hint="eastAsia" w:ascii="宋体" w:hAnsi="宋体" w:eastAsia="宋体" w:cs="宋体"/>
          <w:b w:val="0"/>
          <w:bCs/>
          <w:color w:val="auto"/>
          <w:kern w:val="2"/>
          <w:sz w:val="21"/>
          <w:szCs w:val="21"/>
          <w:lang w:val="en-US" w:eastAsia="en-US" w:bidi="ar-SA"/>
        </w:rPr>
      </w:pPr>
      <w:r>
        <w:rPr>
          <w:rFonts w:hint="default" w:ascii="宋体" w:hAnsi="宋体" w:eastAsia="宋体" w:cs="宋体"/>
          <w:b w:val="0"/>
          <w:bCs/>
          <w:color w:val="auto"/>
          <w:kern w:val="2"/>
          <w:sz w:val="21"/>
          <w:szCs w:val="21"/>
          <w:lang w:val="en-US" w:eastAsia="en-US" w:bidi="ar-SA"/>
        </w:rPr>
        <w:t>（1）</w:t>
      </w:r>
      <w:r>
        <w:rPr>
          <w:rFonts w:hint="eastAsia" w:ascii="宋体" w:hAnsi="宋体" w:eastAsia="宋体" w:cs="宋体"/>
          <w:b w:val="0"/>
          <w:bCs/>
          <w:color w:val="auto"/>
          <w:kern w:val="2"/>
          <w:sz w:val="21"/>
          <w:szCs w:val="21"/>
          <w:lang w:val="en-US" w:eastAsia="en-US" w:bidi="ar-SA"/>
        </w:rPr>
        <w:t>习近平新时代中国特色社会主义思想，从理论和实践的结合上科学回答了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以崭新的思想内容丰富发展了马克思主义，形成了完整的科学体系。习近平新时代中国特色社会主义思想内涵十分丰富，党的十九大、十九届六中全会提出的“十个明确”“十四个坚持”“十三个方面成就”概括了习近平新时代中国特色社会主义思想的主要内容。党的二十大提出的“六个必须坚持”，是习近平新时代中国特色社会主义思想的世界观、方法论和贯穿其中的立场观点方法的重要体现。</w:t>
      </w:r>
    </w:p>
    <w:p w14:paraId="6F54AA3A">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eastAsia" w:ascii="宋体" w:hAnsi="宋体" w:eastAsia="宋体" w:cs="宋体"/>
          <w:b w:val="0"/>
          <w:bCs/>
          <w:color w:val="auto"/>
          <w:kern w:val="2"/>
          <w:sz w:val="21"/>
          <w:szCs w:val="21"/>
          <w:lang w:val="en-US" w:eastAsia="zh-CN" w:bidi="ar-SA"/>
        </w:rPr>
      </w:pPr>
      <w:r>
        <w:rPr>
          <w:rFonts w:hint="default" w:ascii="宋体" w:hAnsi="宋体" w:eastAsia="宋体" w:cs="宋体"/>
          <w:b w:val="0"/>
          <w:bCs/>
          <w:color w:val="auto"/>
          <w:kern w:val="2"/>
          <w:sz w:val="21"/>
          <w:szCs w:val="21"/>
          <w:lang w:val="en-US" w:eastAsia="zh-CN" w:bidi="ar-SA"/>
        </w:rPr>
        <w:t>（2）在具体章节设计方面，本教学课程由导论、结语和17章内容组成。其中，第一章至第五章，分别阐述新时代坚持和发展中国特色社会主义、以中国式现代化全面推进中华民族伟大复兴、坚持党的全面领导、坚持以人民为中心、全面深化改革开放；第六章至第十二章，分别阐述推动高质量发展、社会主义现代化建设的教育科技人才战略、发展全过程人民民主、全面依法治国、建设社会主义文化强国、以保障和改善民生为重点加强社会建设、建设社会主义生态文明；第十三章至第十七章，分别阐述维护和塑造国家安全、建设巩固国防和强大人民军队、坚持“一国两制”和推进祖国完全统一、中国特色大国外交和推动构建人类命运共同体、全面从严治党。</w:t>
      </w:r>
    </w:p>
    <w:p w14:paraId="6BA6D33A">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6CDB534E">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（1）教师要求：思政课教师肩负着立德树人的重要使命，要严格落实自觉履行习近平总书记对思政课提出的“六要”的要求，即政治要强、情怀要深、思维要新、自律要严、人格要正。</w:t>
      </w:r>
    </w:p>
    <w:p w14:paraId="5A3204AC">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w:t>
      </w:r>
      <w:r>
        <w:rPr>
          <w:rFonts w:hint="default" w:ascii="宋体" w:hAnsi="宋体" w:eastAsia="宋体" w:cs="宋体"/>
          <w:b w:val="0"/>
          <w:bCs/>
          <w:kern w:val="2"/>
          <w:sz w:val="21"/>
          <w:szCs w:val="21"/>
          <w:lang w:val="en-US" w:eastAsia="zh-CN" w:bidi="ar-SA"/>
        </w:rPr>
        <w:t>必须使用马工程统编教材，同时配备教材辅助材料，如《习近平新时代中国特色社会主义思想概论教学要点及参考资料》；配备高清投影、音响系统的多媒体基础教室与智慧教室，拥有黑板或电子黑板满足板书与课件展示需求；校内实践教学基地，如黄河文化馆等。</w:t>
      </w:r>
    </w:p>
    <w:p w14:paraId="45F220E5">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（3）教学方法：</w:t>
      </w:r>
      <w:r>
        <w:rPr>
          <w:rFonts w:hint="eastAsia" w:ascii="宋体" w:hAnsi="宋体" w:eastAsia="宋体" w:cs="宋体"/>
          <w:b w:val="0"/>
          <w:bCs/>
          <w:kern w:val="2"/>
          <w:sz w:val="21"/>
          <w:szCs w:val="21"/>
          <w:lang w:val="en-US" w:eastAsia="zh-CN" w:bidi="ar-SA"/>
        </w:rPr>
        <w:t>翻转课堂法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通过学习通发布教学资源、精品课视频、课前预习任务、主题讨论、思考题等，培养学生自主学习能力</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理论讲授法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将教材中涉及到的理论知识有重点、有取舍地进行讲授</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案例讲授法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把重要讲话、典型案例等融入理论讲授过程中</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探究式教学法</w:t>
      </w:r>
      <w:r>
        <w:rPr>
          <w:rFonts w:hint="default" w:ascii="宋体" w:hAnsi="宋体" w:eastAsia="宋体"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通过提问、讨论让学生发现怎样将理论与自身学习、生活、工作结合起来</w:t>
      </w:r>
      <w:r>
        <w:rPr>
          <w:rFonts w:hint="default" w:ascii="宋体" w:hAnsi="宋体" w:eastAsia="宋体" w:cs="宋体"/>
          <w:b w:val="0"/>
          <w:bCs/>
          <w:kern w:val="2"/>
          <w:sz w:val="21"/>
          <w:szCs w:val="21"/>
          <w:lang w:val="en-US" w:eastAsia="zh-CN" w:bidi="ar-SA"/>
        </w:rPr>
        <w:t>；任务驱动法，通过课后布置任务让学生对本次课程进行深入思考。</w:t>
      </w:r>
    </w:p>
    <w:p w14:paraId="626929F0">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eastAsia"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（4）教学考核</w:t>
      </w:r>
      <w:r>
        <w:rPr>
          <w:rFonts w:hint="eastAsia" w:ascii="宋体" w:hAnsi="宋体" w:eastAsia="宋体" w:cs="宋体"/>
          <w:b w:val="0"/>
          <w:bCs/>
          <w:kern w:val="2"/>
          <w:sz w:val="21"/>
          <w:szCs w:val="21"/>
          <w:lang w:val="en-US" w:eastAsia="zh-CN" w:bidi="ar-SA"/>
        </w:rPr>
        <w:t>：本课程为考试课程，分为理论教学和实践教学两个环节，学期结束安排考试。以百分制计分，其中平时成绩占50%，期末成绩占50%。</w:t>
      </w:r>
    </w:p>
    <w:p w14:paraId="62D72693">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平时成绩的评定依据学生学习本课程的一学期综合表现，主要由以下三部分组成：①出勤情况、课堂纪律；②原著阅读；③实践作业。三部分的综合成绩折算为总成绩的50％。</w:t>
      </w:r>
    </w:p>
    <w:p w14:paraId="55E52DC0">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right="0" w:firstLine="420" w:firstLineChars="200"/>
        <w:jc w:val="left"/>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期末考试由学院统一组织进行，期末考试成绩折算为总成绩的50％。</w:t>
      </w:r>
    </w:p>
    <w:p w14:paraId="5207D03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Calibri" w:hAnsi="Calibri" w:eastAsia="宋体" w:cs="Times New Roman"/>
          <w:kern w:val="2"/>
          <w:sz w:val="21"/>
          <w:szCs w:val="21"/>
        </w:rPr>
      </w:pPr>
      <w:r>
        <w:rPr>
          <w:rFonts w:hint="default" w:ascii="宋体" w:hAnsi="宋体" w:eastAsia="宋体" w:cs="宋体"/>
          <w:b/>
          <w:bCs w:val="0"/>
          <w:szCs w:val="21"/>
          <w:lang w:eastAsia="zh-CN"/>
        </w:rPr>
        <w:t>4.</w:t>
      </w:r>
      <w:r>
        <w:rPr>
          <w:rFonts w:hint="eastAsia" w:ascii="宋体" w:hAnsi="宋体" w:eastAsia="宋体" w:cs="宋体"/>
          <w:b/>
          <w:bCs w:val="0"/>
          <w:kern w:val="2"/>
          <w:sz w:val="21"/>
          <w:szCs w:val="21"/>
          <w:lang w:val="en-US" w:eastAsia="zh-CN" w:bidi="ar"/>
        </w:rPr>
        <w:t>形势与政策</w:t>
      </w:r>
    </w:p>
    <w:p w14:paraId="184F844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58939C54">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知识目标：通过本课程学习，学生将系统了解国内改革开放进程以及社会发展动态，尤其关注交通领域在改革发展中的先锋作用与显著成就；深入掌握党和国家重大方针政策、重大活动和重大改革措施；清晰把握当前国际形势与国际关系状况、发展趋势，以及我国在交通外交、国际交通合作等方面的对外政策与原则立场，构建起全面而深入的形势认知框架。</w:t>
      </w:r>
    </w:p>
    <w:p w14:paraId="3CF394CB">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能力目标：一方面，着力提升学生观察社会形势问题敏锐的洞察力，尤其在交通领域，能够迅速捕捉行业动态、政策变化及其背后的深层次原因；另一方面，强化学生处理、应对复杂社会问题的能力，使学生能够在面对交通领域的突发状况、行业变革等复杂情境时，冷静分析、妥善应对。</w:t>
      </w:r>
    </w:p>
    <w:p w14:paraId="74D8C1E3">
      <w:pPr>
        <w:pStyle w:val="22"/>
        <w:keepNext w:val="0"/>
        <w:keepLines w:val="0"/>
        <w:pageBreakBefore w:val="0"/>
        <w:widowControl w:val="0"/>
        <w:suppressLineNumbers w:val="0"/>
        <w:kinsoku/>
        <w:wordWrap/>
        <w:overflowPunct/>
        <w:topLinePunct w:val="0"/>
        <w:autoSpaceDE w:val="0"/>
        <w:autoSpaceDN/>
        <w:bidi w:val="0"/>
        <w:adjustRightInd/>
        <w:snapToGrid/>
        <w:spacing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素质目标：通过对国内、国际形势的深入分析，以及对党和国家大政方针的详细解读，本课程致力于帮助学生正确认识和把握当前的国内形势与国际环境，引导学生深刻理解交通事业对于国家发展、民族复兴的重要意义，增强贯彻、执行党和国家各项路线、方针、政策的自觉性。同时，激发学生的交通情怀，让学生明确自己作为新时代青年在交通强国建设中所肩负的历史使命与社会责任，激励学生将个人成长与国家交通事业发展紧密相连，为实现交通强国目标贡献青春力量。</w:t>
      </w:r>
    </w:p>
    <w:p w14:paraId="06DBC70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主要内容：</w:t>
      </w:r>
    </w:p>
    <w:p w14:paraId="264C3105">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kinsoku/>
        <w:wordWrap/>
        <w:overflowPunct/>
        <w:topLinePunct w:val="0"/>
        <w:autoSpaceDE/>
        <w:autoSpaceDN/>
        <w:bidi w:val="0"/>
        <w:adjustRightInd/>
        <w:snapToGrid/>
        <w:spacing w:before="0" w:beforeAutospacing="0" w:after="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形势与政策课程分专题来讲授，要求担任本课程的教师根据教育部每学期印发的“高校形势与政策教育教学要点”，结合上级有关部门提供的教学辅导资料，进行集体备课，统一安排教学内容。</w:t>
      </w:r>
    </w:p>
    <w:p w14:paraId="7F68ED5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DFDFE"/>
        <w:wordWrap/>
        <w:topLinePunct w:val="0"/>
        <w:bidi w:val="0"/>
        <w:spacing w:before="0" w:beforeAutospacing="0" w:after="0" w:afterAutospacing="0" w:line="400" w:lineRule="exact"/>
        <w:ind w:left="0" w:right="0" w:firstLine="422" w:firstLineChars="200"/>
        <w:jc w:val="left"/>
        <w:rPr>
          <w:rFonts w:hint="eastAsia" w:ascii="宋体" w:hAnsi="宋体" w:eastAsia="宋体" w:cs="宋体"/>
          <w:b/>
          <w:bCs w:val="0"/>
          <w:kern w:val="2"/>
          <w:sz w:val="21"/>
          <w:szCs w:val="21"/>
          <w:shd w:val="clear" w:color="auto" w:fill="FDFDFE"/>
        </w:rPr>
      </w:pPr>
      <w:r>
        <w:rPr>
          <w:rFonts w:hint="eastAsia" w:ascii="宋体" w:hAnsi="宋体" w:eastAsia="宋体" w:cs="宋体"/>
          <w:b/>
          <w:bCs w:val="0"/>
          <w:kern w:val="2"/>
          <w:sz w:val="21"/>
          <w:szCs w:val="21"/>
          <w:shd w:val="clear" w:color="auto" w:fill="FDFDFE"/>
        </w:rPr>
        <w:t>教学要求：</w:t>
      </w:r>
    </w:p>
    <w:p w14:paraId="50A0D160">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教师要求：具备扎实的马克思主义理论基础，熟练掌握党的路线、方针、政策，以及国内外重大时事动态。精通形势与政策课程的核心内容，熟悉高等教育教学规律，能够将时政热点与学科前沿结合，设计出符合学生认知特点的教学内容。同时具备课程设计能力、互动教学能力、信息化教学能力与课程思政能力。</w:t>
      </w:r>
    </w:p>
    <w:p w14:paraId="7B3F19D4">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（2）教学条件：配备多媒体教室、智慧教室、互动显示屏，支持高清视频播放、实时投票、弹幕互动等功能，拥有黑板或电子黑板满足板书与课件展示需求，</w:t>
      </w:r>
      <w:r>
        <w:rPr>
          <w:rFonts w:hint="eastAsia" w:ascii="宋体" w:hAnsi="宋体" w:eastAsia="宋体" w:cs="宋体"/>
          <w:color w:val="000000"/>
          <w:kern w:val="2"/>
          <w:sz w:val="21"/>
          <w:szCs w:val="21"/>
        </w:rPr>
        <w:t>利用MOOC、钉钉、学习通等平台辅助教学，并</w:t>
      </w:r>
      <w:r>
        <w:rPr>
          <w:rFonts w:hint="eastAsia" w:ascii="宋体" w:hAnsi="宋体" w:eastAsia="宋体" w:cs="宋体"/>
          <w:b w:val="0"/>
          <w:bCs/>
          <w:kern w:val="2"/>
          <w:sz w:val="21"/>
          <w:szCs w:val="21"/>
        </w:rPr>
        <w:t>有杨靖宇革命纪念馆、竹沟革命纪念馆、西滑封精神实践教学基地、寨卜昌实践教学基地、嘉应观实践教学基地、黄河文化馆等校内外实践教学基地。</w:t>
      </w:r>
    </w:p>
    <w:p w14:paraId="51F52CF1">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（3）教学方法：理论教学法、翻转课堂法、分组讨论法、直观演示法、案例教学法和任务驱动法。</w:t>
      </w:r>
    </w:p>
    <w:p w14:paraId="587A43C7">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eastAsia" w:ascii="宋体" w:hAnsi="宋体" w:eastAsia="宋体" w:cs="宋体"/>
          <w:b w:val="0"/>
          <w:bCs w:val="0"/>
          <w:color w:val="000000"/>
          <w:kern w:val="2"/>
          <w:sz w:val="21"/>
          <w:szCs w:val="21"/>
        </w:rPr>
      </w:pPr>
      <w:r>
        <w:rPr>
          <w:rFonts w:hint="eastAsia" w:ascii="宋体" w:hAnsi="宋体" w:eastAsia="宋体" w:cs="宋体"/>
          <w:b w:val="0"/>
          <w:bCs/>
          <w:kern w:val="2"/>
          <w:sz w:val="21"/>
          <w:szCs w:val="21"/>
        </w:rPr>
        <w:t>（4）考核评价：</w:t>
      </w:r>
      <w:r>
        <w:rPr>
          <w:rFonts w:hint="eastAsia" w:ascii="宋体" w:hAnsi="宋体" w:eastAsia="宋体" w:cs="宋体"/>
          <w:b w:val="0"/>
          <w:bCs w:val="0"/>
          <w:color w:val="000000"/>
          <w:kern w:val="2"/>
          <w:sz w:val="21"/>
          <w:szCs w:val="21"/>
        </w:rPr>
        <w:t>形势与政策课程为考查课，以百分制计分，</w:t>
      </w:r>
      <w:r>
        <w:rPr>
          <w:rFonts w:hint="eastAsia" w:ascii="宋体" w:hAnsi="宋体" w:eastAsia="宋体" w:cs="宋体"/>
          <w:kern w:val="2"/>
          <w:sz w:val="21"/>
          <w:szCs w:val="21"/>
        </w:rPr>
        <w:t>其中平时成绩占</w:t>
      </w:r>
      <w:r>
        <w:rPr>
          <w:rFonts w:hint="default" w:ascii="Times New Roman" w:hAnsi="Times New Roman" w:eastAsia="宋体" w:cs="Times New Roman"/>
          <w:kern w:val="2"/>
          <w:sz w:val="21"/>
          <w:szCs w:val="21"/>
        </w:rPr>
        <w:t>50%</w:t>
      </w:r>
      <w:r>
        <w:rPr>
          <w:rFonts w:hint="eastAsia" w:ascii="宋体" w:hAnsi="宋体" w:eastAsia="宋体" w:cs="宋体"/>
          <w:kern w:val="2"/>
          <w:sz w:val="21"/>
          <w:szCs w:val="21"/>
        </w:rPr>
        <w:t>，期末成绩占</w:t>
      </w:r>
      <w:r>
        <w:rPr>
          <w:rFonts w:hint="default" w:ascii="Times New Roman" w:hAnsi="Times New Roman" w:eastAsia="宋体" w:cs="Times New Roman"/>
          <w:kern w:val="2"/>
          <w:sz w:val="21"/>
          <w:szCs w:val="21"/>
        </w:rPr>
        <w:t>50%</w:t>
      </w:r>
      <w:r>
        <w:rPr>
          <w:rFonts w:hint="eastAsia" w:ascii="宋体" w:hAnsi="宋体" w:eastAsia="宋体" w:cs="宋体"/>
          <w:kern w:val="2"/>
          <w:sz w:val="21"/>
          <w:szCs w:val="21"/>
        </w:rPr>
        <w:t>。</w:t>
      </w:r>
      <w:r>
        <w:rPr>
          <w:rFonts w:hint="eastAsia" w:ascii="宋体" w:hAnsi="宋体" w:eastAsia="宋体" w:cs="宋体"/>
          <w:b w:val="0"/>
          <w:bCs w:val="0"/>
          <w:color w:val="000000"/>
          <w:kern w:val="2"/>
          <w:sz w:val="21"/>
          <w:szCs w:val="21"/>
        </w:rPr>
        <w:t>平时成绩的评定以百分制计分，依据学生学习本课程的综合表现，主要由以下三部分组成：①考勤和课堂表现；②原著阅读；③心得体会。考勤和课堂表现占平时成绩的20%，原著阅读和心得体会分别占平时成绩的40%，三部分的综合成绩折算为总成绩的50%。期末成绩评定由学院统一安排，以百分制计分，各任课教师具体组织实施，期末卷面成绩折算为总成绩的50％。</w:t>
      </w:r>
    </w:p>
    <w:p w14:paraId="12581177">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5.军事理论</w:t>
      </w:r>
    </w:p>
    <w:p w14:paraId="01C6593A">
      <w:pPr>
        <w:pStyle w:val="11"/>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06DE00B6">
      <w:pPr>
        <w:pStyle w:val="11"/>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本课程旨在系统介绍军事理论的基本概念、发展历程及其在现代战争中的应用，特别融入交通运输领域的特色，帮助学生理解现代交通保障在军事行动中的关键作用。通过学习交通运输与军事战略的结合，提升学生对军事实践中交通重要性的认知。</w:t>
      </w:r>
    </w:p>
    <w:p w14:paraId="16BD0F7A">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2）能力目标：培养学生分析和解决军事交通保障问题的能力，增强组织协调和应急处理能力，能够将军事理论知识与交通运输实际相结合，提出切实可行的方案，具备现代军事行动中交通保障的综合运用能力。</w:t>
      </w:r>
    </w:p>
    <w:p w14:paraId="5F38503F">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color w:val="FF0000"/>
          <w:kern w:val="2"/>
          <w:sz w:val="21"/>
          <w:szCs w:val="21"/>
        </w:rPr>
      </w:pPr>
      <w:r>
        <w:rPr>
          <w:rFonts w:hint="eastAsia" w:ascii="宋体" w:hAnsi="宋体" w:eastAsia="宋体" w:cs="宋体"/>
          <w:b w:val="0"/>
          <w:bCs/>
          <w:kern w:val="2"/>
          <w:sz w:val="21"/>
          <w:szCs w:val="21"/>
          <w:lang w:val="en-US" w:eastAsia="zh-CN" w:bidi="ar"/>
        </w:rPr>
        <w:t>（3）素质目标：加强学生的爱国主义精神和服务国防建设的责任感，体现思政教育目标，树立正确的国防观和使命感，培养严谨的军事纪律意识和团队合作精神，促进学生全面发展。</w:t>
      </w:r>
    </w:p>
    <w:p w14:paraId="6AA82D42">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55629D85">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（1）中国国防：</w:t>
      </w:r>
      <w:r>
        <w:rPr>
          <w:rFonts w:hint="eastAsia" w:ascii="宋体" w:hAnsi="宋体" w:eastAsia="宋体" w:cs="宋体"/>
          <w:b w:val="0"/>
          <w:bCs/>
          <w:kern w:val="2"/>
          <w:sz w:val="21"/>
          <w:szCs w:val="21"/>
          <w:lang w:val="en-US" w:eastAsia="zh-CN" w:bidi="ar"/>
        </w:rPr>
        <w:t>系统讲解国防建设的基本目标与战略方针，强调捍卫国家主权、领土完整及安全发展的重要性。</w:t>
      </w: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国家安全</w:t>
      </w:r>
      <w:r>
        <w:rPr>
          <w:rFonts w:hint="eastAsia" w:ascii="宋体" w:hAnsi="宋体" w:cs="宋体"/>
          <w:b w:val="0"/>
          <w:bCs/>
          <w:kern w:val="2"/>
          <w:sz w:val="21"/>
          <w:szCs w:val="21"/>
          <w:lang w:val="en-US" w:eastAsia="zh-CN" w:bidi="ar"/>
        </w:rPr>
        <w:t>：</w:t>
      </w:r>
      <w:r>
        <w:rPr>
          <w:rFonts w:hint="eastAsia" w:ascii="宋体" w:hAnsi="宋体" w:eastAsia="宋体" w:cs="宋体"/>
          <w:b w:val="0"/>
          <w:bCs/>
          <w:kern w:val="2"/>
          <w:sz w:val="21"/>
          <w:szCs w:val="21"/>
          <w:lang w:val="en-US" w:eastAsia="zh-CN" w:bidi="ar"/>
        </w:rPr>
        <w:t>通过分析中国复杂的地缘环境与国际战略形势，阐释国家安全与民族复兴的紧密关联。</w:t>
      </w:r>
      <w:r>
        <w:rPr>
          <w:rFonts w:hint="eastAsia" w:ascii="宋体" w:hAnsi="宋体" w:cs="宋体"/>
          <w:b w:val="0"/>
          <w:bCs/>
          <w:kern w:val="2"/>
          <w:sz w:val="21"/>
          <w:szCs w:val="21"/>
          <w:lang w:val="en-US" w:eastAsia="zh-CN" w:bidi="ar"/>
        </w:rPr>
        <w:t>（3）</w:t>
      </w:r>
      <w:r>
        <w:rPr>
          <w:rFonts w:hint="eastAsia" w:ascii="宋体" w:hAnsi="宋体" w:eastAsia="宋体" w:cs="宋体"/>
          <w:b w:val="0"/>
          <w:bCs/>
          <w:kern w:val="2"/>
          <w:sz w:val="21"/>
          <w:szCs w:val="21"/>
          <w:lang w:val="en-US" w:eastAsia="zh-CN" w:bidi="ar"/>
        </w:rPr>
        <w:t>军事思想</w:t>
      </w:r>
      <w:r>
        <w:rPr>
          <w:rFonts w:hint="eastAsia" w:ascii="宋体" w:hAnsi="宋体" w:cs="宋体"/>
          <w:b w:val="0"/>
          <w:bCs/>
          <w:kern w:val="2"/>
          <w:sz w:val="21"/>
          <w:szCs w:val="21"/>
          <w:lang w:val="en-US" w:eastAsia="zh-CN" w:bidi="ar"/>
        </w:rPr>
        <w:t>：</w:t>
      </w:r>
      <w:r>
        <w:rPr>
          <w:rFonts w:hint="eastAsia" w:ascii="宋体" w:hAnsi="宋体" w:eastAsia="宋体" w:cs="宋体"/>
          <w:b w:val="0"/>
          <w:bCs/>
          <w:kern w:val="2"/>
          <w:sz w:val="21"/>
          <w:szCs w:val="21"/>
          <w:lang w:val="en-US" w:eastAsia="zh-CN" w:bidi="ar"/>
        </w:rPr>
        <w:t>深入探讨中国军事思想的演进，从《孙子兵法》等传统兵学智慧到现代信息化战争理论，揭示军事思想对战略决策的深远影响。</w:t>
      </w:r>
      <w:r>
        <w:rPr>
          <w:rFonts w:hint="eastAsia" w:ascii="宋体" w:hAnsi="宋体" w:cs="宋体"/>
          <w:b w:val="0"/>
          <w:bCs/>
          <w:kern w:val="2"/>
          <w:sz w:val="21"/>
          <w:szCs w:val="21"/>
          <w:lang w:val="en-US" w:eastAsia="zh-CN" w:bidi="ar"/>
        </w:rPr>
        <w:t>（4）</w:t>
      </w:r>
      <w:r>
        <w:rPr>
          <w:rFonts w:hint="eastAsia" w:ascii="宋体" w:hAnsi="宋体" w:eastAsia="宋体" w:cs="宋体"/>
          <w:b w:val="0"/>
          <w:bCs/>
          <w:kern w:val="2"/>
          <w:sz w:val="21"/>
          <w:szCs w:val="21"/>
          <w:lang w:val="en-US" w:eastAsia="zh-CN" w:bidi="ar"/>
        </w:rPr>
        <w:t>现代战争</w:t>
      </w:r>
      <w:r>
        <w:rPr>
          <w:rFonts w:hint="eastAsia" w:ascii="宋体" w:hAnsi="宋体" w:cs="宋体"/>
          <w:b w:val="0"/>
          <w:bCs/>
          <w:kern w:val="2"/>
          <w:sz w:val="21"/>
          <w:szCs w:val="21"/>
          <w:lang w:val="en-US" w:eastAsia="zh-CN" w:bidi="ar"/>
        </w:rPr>
        <w:t>：</w:t>
      </w:r>
      <w:r>
        <w:rPr>
          <w:rFonts w:hint="eastAsia" w:ascii="宋体" w:hAnsi="宋体" w:eastAsia="宋体" w:cs="宋体"/>
          <w:b w:val="0"/>
          <w:bCs/>
          <w:kern w:val="2"/>
          <w:sz w:val="21"/>
          <w:szCs w:val="21"/>
          <w:lang w:val="en-US" w:eastAsia="zh-CN" w:bidi="ar"/>
        </w:rPr>
        <w:t>结合现代战争形态的演变，重点解析信息化战争的特征与趋势，剖析精确制导武器、人工智能、网络攻防等关键技术装备的应用。</w:t>
      </w:r>
      <w:r>
        <w:rPr>
          <w:rFonts w:hint="eastAsia" w:ascii="宋体" w:hAnsi="宋体" w:cs="宋体"/>
          <w:b w:val="0"/>
          <w:bCs/>
          <w:kern w:val="2"/>
          <w:sz w:val="21"/>
          <w:szCs w:val="21"/>
          <w:lang w:val="en-US" w:eastAsia="zh-CN" w:bidi="ar"/>
        </w:rPr>
        <w:t>（5）</w:t>
      </w:r>
      <w:r>
        <w:rPr>
          <w:rFonts w:hint="eastAsia" w:ascii="宋体" w:hAnsi="宋体" w:eastAsia="宋体" w:cs="宋体"/>
          <w:b w:val="0"/>
          <w:bCs/>
          <w:kern w:val="2"/>
          <w:sz w:val="21"/>
          <w:szCs w:val="21"/>
          <w:lang w:val="en-US" w:eastAsia="zh-CN" w:bidi="ar"/>
        </w:rPr>
        <w:t>信息化装备</w:t>
      </w:r>
      <w:r>
        <w:rPr>
          <w:rFonts w:hint="eastAsia" w:ascii="宋体" w:hAnsi="宋体" w:cs="宋体"/>
          <w:b w:val="0"/>
          <w:bCs/>
          <w:kern w:val="2"/>
          <w:sz w:val="21"/>
          <w:szCs w:val="21"/>
          <w:lang w:val="en-US" w:eastAsia="zh-CN" w:bidi="ar"/>
        </w:rPr>
        <w:t>：</w:t>
      </w:r>
      <w:r>
        <w:rPr>
          <w:rFonts w:hint="eastAsia" w:ascii="宋体" w:hAnsi="宋体" w:eastAsia="宋体" w:cs="宋体"/>
          <w:b w:val="0"/>
          <w:bCs/>
          <w:kern w:val="2"/>
          <w:sz w:val="21"/>
          <w:szCs w:val="21"/>
          <w:lang w:val="en-US" w:eastAsia="zh-CN" w:bidi="ar"/>
        </w:rPr>
        <w:t>聚焦信息化装备的发展现状，介绍C4ISR系统、智能化作战平台等前沿技术，探讨其如何赋能军队实现“能打仗、打胜仗”的目标，培养国防意识和科技强军理念。</w:t>
      </w:r>
    </w:p>
    <w:p w14:paraId="4E1B5199">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09B333A4">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（1）教师要求：教师应具备扎实的军事理论基础与交通专业知识，具备军事教学与实践经验，能够结合实际案例进行教学，注重思政教育的贯穿，具有较强的组织与表达能力。</w:t>
      </w:r>
    </w:p>
    <w:p w14:paraId="48F709CE">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（2）教学条件：多配备现代化多媒体教学设备，具备丰富的军事案例资料与典型视频资源，保障教学环节的开展，如模拟指挥训练平台。</w:t>
      </w:r>
    </w:p>
    <w:p w14:paraId="0A0349C1">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3）教学方法：采用理论教学与案例分析相结合的方法，强调互动式教学和问题导向学习，组织专题讨论和模拟演练，促进学生主动思考与实践能力的提升。结合线上线下混合教学模式，提高教学灵活性和效果。</w:t>
      </w:r>
    </w:p>
    <w:p w14:paraId="60FE8920">
      <w:pPr>
        <w:pStyle w:val="22"/>
        <w:keepNext w:val="0"/>
        <w:keepLines w:val="0"/>
        <w:pageBreakBefore w:val="0"/>
        <w:widowControl w:val="0"/>
        <w:suppressLineNumbers w:val="0"/>
        <w:wordWrap/>
        <w:topLinePunct w:val="0"/>
        <w:autoSpaceDE w:val="0"/>
        <w:autoSpaceDN/>
        <w:bidi w:val="0"/>
        <w:spacing w:line="400" w:lineRule="exact"/>
        <w:ind w:left="0" w:right="0" w:firstLine="420" w:firstLineChars="200"/>
        <w:rPr>
          <w:rFonts w:hint="default" w:ascii="宋体" w:hAnsi="宋体" w:eastAsia="宋体" w:cs="宋体"/>
          <w:b w:val="0"/>
          <w:bCs w:val="0"/>
          <w:color w:val="000000"/>
          <w:kern w:val="2"/>
          <w:sz w:val="21"/>
          <w:szCs w:val="21"/>
          <w:lang w:val="en-US" w:eastAsia="zh-CN"/>
        </w:rPr>
      </w:pPr>
      <w:r>
        <w:rPr>
          <w:rFonts w:hint="eastAsia" w:ascii="宋体" w:hAnsi="宋体" w:eastAsia="宋体" w:cs="宋体"/>
          <w:b w:val="0"/>
          <w:bCs/>
          <w:kern w:val="2"/>
          <w:sz w:val="21"/>
          <w:szCs w:val="21"/>
          <w:lang w:val="en-US" w:eastAsia="zh-CN" w:bidi="ar"/>
        </w:rPr>
        <w:t>（4）考核评价：过程考核占40%+综合考核占60%。</w:t>
      </w:r>
      <w:r>
        <w:rPr>
          <w:rFonts w:hint="eastAsia" w:cs="宋体"/>
          <w:b w:val="0"/>
          <w:bCs w:val="0"/>
          <w:color w:val="000000"/>
          <w:kern w:val="2"/>
          <w:sz w:val="21"/>
          <w:szCs w:val="21"/>
          <w:lang w:val="en-US" w:eastAsia="zh-CN"/>
        </w:rPr>
        <w:t>。</w:t>
      </w:r>
    </w:p>
    <w:p w14:paraId="5E49708F">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val="0"/>
          <w:bCs/>
          <w:kern w:val="2"/>
          <w:sz w:val="21"/>
          <w:szCs w:val="21"/>
        </w:rPr>
      </w:pPr>
      <w:r>
        <w:rPr>
          <w:rFonts w:hint="eastAsia" w:ascii="宋体" w:hAnsi="宋体" w:eastAsia="宋体" w:cs="宋体"/>
          <w:b/>
          <w:bCs w:val="0"/>
          <w:kern w:val="2"/>
          <w:sz w:val="21"/>
          <w:szCs w:val="21"/>
          <w:lang w:val="en-US" w:eastAsia="zh-CN" w:bidi="ar"/>
        </w:rPr>
        <w:t>6.军事技能</w:t>
      </w:r>
    </w:p>
    <w:p w14:paraId="5EC9307B">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根据《关于进一步提高学生军事技能训练教育管理的通知》(军动〔2024〕33号)文件要求，军事技能训练重点围绕“规范施训、提升质量”核心目标展开。训练内容涵盖共同条令教育与训练、</w:t>
      </w:r>
      <w:r>
        <w:rPr>
          <w:rFonts w:hint="eastAsia" w:ascii="宋体" w:hAnsi="宋体" w:eastAsia="宋体" w:cs="宋体"/>
          <w:i w:val="0"/>
          <w:iCs w:val="0"/>
          <w:caps w:val="0"/>
          <w:color w:val="4B4B4B"/>
          <w:spacing w:val="0"/>
          <w:kern w:val="2"/>
          <w:sz w:val="21"/>
          <w:szCs w:val="21"/>
          <w:shd w:val="clear" w:color="auto" w:fill="FFFFFF"/>
          <w:lang w:val="en-US" w:eastAsia="zh-CN" w:bidi="ar"/>
        </w:rPr>
        <w:t>射击与战术训练、</w:t>
      </w:r>
      <w:r>
        <w:rPr>
          <w:rFonts w:hint="eastAsia" w:ascii="宋体" w:hAnsi="宋体" w:eastAsia="宋体" w:cs="宋体"/>
          <w:b w:val="0"/>
          <w:bCs/>
          <w:kern w:val="2"/>
          <w:sz w:val="21"/>
          <w:szCs w:val="21"/>
          <w:lang w:val="en-US" w:eastAsia="zh-CN" w:bidi="ar"/>
        </w:rPr>
        <w:t>防卫技能与战时防护训练、战备基础与应用训练等核心科目，强化队列养成、分队战术协同及野外生存适应能力。训练过程须严格落实教学规范与安全制度，科学组训、按纲施考，确保通过系统化、实战化的训练，切实增强学生的国防观念、组织纪律性和基本军事素养，全面提升训练实效。</w:t>
      </w:r>
    </w:p>
    <w:p w14:paraId="554353B5">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197EA9C4">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0"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知识目标：掌握《三大条令》中的条令条例、纪律规范和行为准则；理解掌握射击原理、战术布局及分队协同作战知识；熟悉防护技巧及战时自救互救方法；了解战备状态、物资管理及实战应用理论，确保学生系统构建军事知识体系，为国防观念和组织纪律性的提升奠定基础。</w:t>
      </w:r>
    </w:p>
    <w:p w14:paraId="4BD69D7F">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0"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能力目标：能够规范执行队列动作，提升组织纪律性；具备基本射击技能和分队战术协同能力；掌握防卫技巧、战时防护；熟悉战备物资管理、野外生存应用及实战应变能力，确保全面提升实战操作、协同配合及环境适应能力。</w:t>
      </w:r>
    </w:p>
    <w:p w14:paraId="038C27CE">
      <w:pPr>
        <w:keepNext w:val="0"/>
        <w:keepLines w:val="0"/>
        <w:pageBreakBefore w:val="0"/>
        <w:widowControl w:val="0"/>
        <w:numPr>
          <w:ilvl w:val="0"/>
          <w:numId w:val="1"/>
        </w:numPr>
        <w:suppressLineNumbers w:val="0"/>
        <w:wordWrap/>
        <w:topLinePunct w:val="0"/>
        <w:bidi w:val="0"/>
        <w:adjustRightInd w:val="0"/>
        <w:snapToGrid w:val="0"/>
        <w:spacing w:beforeAutospacing="0" w:afterAutospacing="0" w:line="400" w:lineRule="exact"/>
        <w:ind w:left="0" w:leftChars="0" w:right="0" w:firstLine="422" w:firstLineChars="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素质目标：培养深厚的爱国主义情感和国家安全意识；树立坚定的组织纪律观念和服从命令品质；增强团队协作精神和集体荣誉感；提升心理抗压能力、应变韧性和意志品质；养成吃苦耐劳、勇于担当、无私奉献的优良作风，确保学生在思想品德、心理素质、价值观念等方面全面升华，为国防建设提供坚实的人才支撑。</w:t>
      </w:r>
    </w:p>
    <w:p w14:paraId="1014DA46">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4F740086">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学校军事技能训练时间不少于3周，计2学分。训练时间安排在新生入学后前3周，由学校武装部统筹组织。</w:t>
      </w:r>
    </w:p>
    <w:p w14:paraId="1D2C63DE">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军事技能理论知识学习：习近平强军思想，三大条令的学习，轻武器性能、构造与保养，简易射击原理，战场医疗救护基本知识，战备规定的内容与要求，地形图基本知识。</w:t>
      </w:r>
    </w:p>
    <w:p w14:paraId="318CEF92">
      <w:pPr>
        <w:keepNext w:val="0"/>
        <w:keepLines w:val="0"/>
        <w:pageBreakBefore w:val="0"/>
        <w:widowControl w:val="0"/>
        <w:numPr>
          <w:ilvl w:val="0"/>
          <w:numId w:val="2"/>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个人军事技能学习与掌握：队列动作，轻武器射击，军事格斗技能，战术运动，战场救护实操，战场防护实操，地图使用方法。</w:t>
      </w:r>
    </w:p>
    <w:p w14:paraId="7AA050A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2" w:firstLineChars="200"/>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r>
        <w:rPr>
          <w:rFonts w:hint="eastAsia" w:ascii="宋体" w:hAnsi="宋体" w:cs="宋体"/>
          <w:b/>
          <w:bCs w:val="0"/>
          <w:kern w:val="2"/>
          <w:sz w:val="21"/>
          <w:szCs w:val="21"/>
          <w:lang w:val="en-US" w:eastAsia="zh-CN" w:bidi="ar"/>
        </w:rPr>
        <w:t>：</w:t>
      </w:r>
    </w:p>
    <w:p w14:paraId="0D611DDA">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师要求：具备相关军事训练资质和实弹经验；熟练掌握《内务条令》《纪律条令》《队列条令》等条令内容，并能清晰讲解和示范；注重安全教育，确保训练过程符合操作规程，预防意外伤害；采用理论结合实践的教学方法，如现场演示、分组练习和互动问答；定期参加专业培训，更新知识技能；具备良好的组织能力，有效管理课堂纪律和训练进度；关注学生个体差异，提供针对性指导；在现地教学、实弹射击等高风险环节，严格执行安全预案，全程监督。</w:t>
      </w:r>
    </w:p>
    <w:p w14:paraId="6D806353">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条件：包括标准化的训练场地，如操场、野外训练区和模拟实战环境；配备必要的教学设备，如地图、投影仪、模型及行军装备；落实安全保障措施，包括配备急救箱、头盔、护具等物资，以及制定严格的安全预案；提供后勤支持，如交通车辆、宿营设施和维护工具；确保教材资源齐全，包括《内务条令》《纪律条令》《队列条令》等条令手册，以及相关技术资料；在现地教学、实弹射击等高危环节，配备专职安全员和监督设备，全程监控训练过程，保障师生安全。</w:t>
      </w:r>
    </w:p>
    <w:p w14:paraId="607A0FD4">
      <w:pPr>
        <w:keepNext w:val="0"/>
        <w:keepLines w:val="0"/>
        <w:pageBreakBefore w:val="0"/>
        <w:widowControl w:val="0"/>
        <w:numPr>
          <w:ilvl w:val="0"/>
          <w:numId w:val="3"/>
        </w:numPr>
        <w:suppressLineNumbers w:val="0"/>
        <w:wordWrap/>
        <w:topLinePunct w:val="0"/>
        <w:bidi w:val="0"/>
        <w:adjustRightInd w:val="0"/>
        <w:snapToGrid w:val="0"/>
        <w:spacing w:beforeAutospacing="0" w:afterAutospacing="0" w:line="400" w:lineRule="exact"/>
        <w:ind w:left="0" w:leftChars="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教学方法：采用理论结合实践的方式，核心包括现场演示、分组练习和互动问答等多种形式。现场演示中，教官亲自示范标准军事动作，学生通过观察模仿掌握要领；分组练习时，将学生划分为小团队，协作完成实战任务，；互动问答环节则通过提问与解答，强化条令知识的理解与应用。此外，教官注重个体差异，针对不同学生提供个性化指导，配备专职安全员全程监督，确保操作规范。同时，定期评估学生表现，结合反馈优化教学方法，提升训练实效性。</w:t>
      </w:r>
    </w:p>
    <w:p w14:paraId="34B1D373">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firstLineChars="200"/>
        <w:jc w:val="both"/>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4）考核评价：成绩由军训教官根据学生训练考核情况、参训表现及日常行为综合评定。成绩分为优秀、良好、及格、不及格四个等级。若违反军训纪律或相关规章，将按规定予以扣分、降级或直接评定为不及格；成绩不合格者须参加补训与补考。学生需全程参与训练，严守纪律规范，积极协作互动。教官将记录日常考核积分，作为最终成绩评定的补充依据。实行三级成绩审核制度：军训教官评定《军事技能》成绩后，经教官及辅导员、学院军训办公室、学校军训办公室逐级审核、签字确认，确保成绩评定公平公正、准确无误。</w:t>
      </w:r>
    </w:p>
    <w:p w14:paraId="2355BC61">
      <w:pPr>
        <w:keepNext w:val="0"/>
        <w:keepLines w:val="0"/>
        <w:pageBreakBefore w:val="0"/>
        <w:wordWrap/>
        <w:topLinePunct w:val="0"/>
        <w:bidi w:val="0"/>
        <w:adjustRightInd w:val="0"/>
        <w:snapToGrid w:val="0"/>
        <w:spacing w:line="400" w:lineRule="exact"/>
        <w:ind w:left="0" w:right="0" w:firstLine="422" w:firstLineChars="200"/>
        <w:rPr>
          <w:rFonts w:hint="default" w:ascii="Times New Roman" w:hAnsi="Times New Roman" w:eastAsia="宋体" w:cs="宋体"/>
          <w:b/>
          <w:szCs w:val="21"/>
          <w:lang w:val="en-US" w:eastAsia="zh-CN"/>
        </w:rPr>
      </w:pPr>
      <w:r>
        <w:rPr>
          <w:rFonts w:hint="eastAsia" w:ascii="Times New Roman" w:hAnsi="Times New Roman" w:cs="宋体"/>
          <w:b/>
          <w:szCs w:val="21"/>
          <w:lang w:val="en-US" w:eastAsia="zh-CN"/>
        </w:rPr>
        <w:t>7.大学英语</w:t>
      </w:r>
    </w:p>
    <w:p w14:paraId="122D2E72">
      <w:pPr>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632" w:firstLineChars="3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r>
        <w:rPr>
          <w:rFonts w:hint="eastAsia" w:ascii="宋体" w:hAnsi="宋体" w:cs="宋体"/>
          <w:b/>
          <w:bCs w:val="0"/>
          <w:kern w:val="2"/>
          <w:sz w:val="21"/>
          <w:szCs w:val="21"/>
          <w:lang w:val="en-US" w:eastAsia="zh-CN" w:bidi="ar"/>
        </w:rPr>
        <w:t>：</w:t>
      </w:r>
    </w:p>
    <w:p w14:paraId="71CE06F9">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1</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知识目标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掌握日常交际、交通出行、餐厅就医、银行服务等场景的核心词汇、短语及实用句型，涵盖问路、购票、点餐、预约等交通服务相关表达；系统学习形容词与副词、代词、情态动词、时态、被动语态等基础语法，以及限制性/非限制性定语从句、不定式与动名词、分词、虚拟语气等进阶语法规则；熟练运用多义词翻译、增译法、省略句翻译、被动语态翻译、定语从句翻译、状语从句翻译等技巧；掌握个人资料、名片、通知、海报、邀请函、欠条等应用文的写作规范；通过阅读材料接触交通站点标识、出行安全提示、交通领域人物故事等内容。</w:t>
      </w:r>
    </w:p>
    <w:p w14:paraId="3D657AB9">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2</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能力目标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能够在日常交际、旅行、职场等场景中运用英语进行有效沟通，包括模拟购票对话、撰写交通意外险投保预约函等交通服务场景实践；读懂交通站点就医指引、购物信息等实用英文材料，准确理解公共交通设施名称、安全提示等标识内容；运用所学语法和翻译技巧完成复杂句子翻译，独立撰写邀请函、请假条等应用文；借助在线教学平台（如学习通）开展自主学习，解决语言问题并优化学习策略。</w:t>
      </w:r>
    </w:p>
    <w:p w14:paraId="05709A1B">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3</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素质目标</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在跨文化交际中增强文化自信，主动传播中国传统文化（如春节习俗、太极拳），同时尊重不同文化差异；通过小组合作完成情景对话、应用文互评等任务，提升团队协作与沟通能力；结合交通场景学习强化规则意识与安全观念，树立社会责任感；培养严谨的学习态度和自主探究精神，形成终身学习能力。</w:t>
      </w:r>
    </w:p>
    <w:p w14:paraId="56F7730C">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主要内容</w:t>
      </w:r>
      <w:r>
        <w:rPr>
          <w:rFonts w:hint="eastAsia" w:ascii="宋体" w:hAnsi="宋体" w:cs="宋体"/>
          <w:b/>
          <w:bCs/>
          <w:i w:val="0"/>
          <w:iCs w:val="0"/>
          <w:caps w:val="0"/>
          <w:color w:val="1C1F23"/>
          <w:spacing w:val="0"/>
          <w:sz w:val="21"/>
          <w:szCs w:val="21"/>
          <w:shd w:val="clear" w:color="auto" w:fill="FFFFFF"/>
          <w:lang w:eastAsia="zh-CN"/>
        </w:rPr>
        <w:t>：</w:t>
      </w:r>
    </w:p>
    <w:p w14:paraId="27525124">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lang w:eastAsia="zh-CN"/>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日常交际与基础语法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问候、兴趣爱好、体育运动</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自我介绍、校园生活</w:t>
      </w:r>
      <w:r>
        <w:rPr>
          <w:rFonts w:hint="eastAsia" w:ascii="宋体" w:hAnsi="宋体" w:cs="宋体"/>
          <w:i w:val="0"/>
          <w:iCs w:val="0"/>
          <w:caps w:val="0"/>
          <w:color w:val="1C1F23"/>
          <w:spacing w:val="0"/>
          <w:sz w:val="21"/>
          <w:szCs w:val="21"/>
          <w:shd w:val="clear" w:color="auto" w:fill="FFFFFF"/>
          <w:lang w:val="en-US" w:eastAsia="zh-CN"/>
        </w:rPr>
        <w:t>等</w:t>
      </w:r>
      <w:r>
        <w:rPr>
          <w:rFonts w:hint="eastAsia" w:ascii="宋体" w:hAnsi="宋体" w:eastAsia="宋体" w:cs="宋体"/>
          <w:i w:val="0"/>
          <w:iCs w:val="0"/>
          <w:caps w:val="0"/>
          <w:color w:val="1C1F23"/>
          <w:spacing w:val="0"/>
          <w:sz w:val="21"/>
          <w:szCs w:val="21"/>
          <w:shd w:val="clear" w:color="auto" w:fill="FFFFFF"/>
        </w:rPr>
        <w:t>主题交流</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旅行场景对话（如购票、问路），融入交通站点标识英文表达，掌握形容词与副词、代词的用法；学习情态动词、基本句型及对话翻译技巧</w:t>
      </w:r>
      <w:r>
        <w:rPr>
          <w:rFonts w:hint="eastAsia" w:ascii="宋体" w:hAnsi="宋体" w:cs="宋体"/>
          <w:i w:val="0"/>
          <w:iCs w:val="0"/>
          <w:caps w:val="0"/>
          <w:color w:val="1C1F23"/>
          <w:spacing w:val="0"/>
          <w:sz w:val="21"/>
          <w:szCs w:val="21"/>
          <w:shd w:val="clear" w:color="auto" w:fill="FFFFFF"/>
          <w:lang w:eastAsia="zh-CN"/>
        </w:rPr>
        <w:t>。</w:t>
      </w:r>
    </w:p>
    <w:p w14:paraId="3F96F4FE">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（2）实用写作与文化传承</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个人资料、名片、通知、海报写作规范，结合校园活动设计实践任务；邀请函、感谢信、贺卡写作，融入春节习俗等</w:t>
      </w:r>
      <w:r>
        <w:rPr>
          <w:rFonts w:hint="eastAsia" w:ascii="宋体" w:hAnsi="宋体" w:cs="宋体"/>
          <w:i w:val="0"/>
          <w:iCs w:val="0"/>
          <w:caps w:val="0"/>
          <w:color w:val="1C1F23"/>
          <w:spacing w:val="0"/>
          <w:sz w:val="21"/>
          <w:szCs w:val="21"/>
          <w:shd w:val="clear" w:color="auto" w:fill="FFFFFF"/>
          <w:lang w:val="en-US" w:eastAsia="zh-CN"/>
        </w:rPr>
        <w:t>传统</w:t>
      </w:r>
      <w:r>
        <w:rPr>
          <w:rFonts w:hint="eastAsia" w:ascii="宋体" w:hAnsi="宋体" w:eastAsia="宋体" w:cs="宋体"/>
          <w:i w:val="0"/>
          <w:iCs w:val="0"/>
          <w:caps w:val="0"/>
          <w:color w:val="1C1F23"/>
          <w:spacing w:val="0"/>
          <w:sz w:val="21"/>
          <w:szCs w:val="21"/>
          <w:shd w:val="clear" w:color="auto" w:fill="FFFFFF"/>
        </w:rPr>
        <w:t>文化元素，强化文化传播能力；欠条、收据、请假条写作，结合银行服务、职场场景开展案例分析。</w:t>
      </w:r>
    </w:p>
    <w:p w14:paraId="36912F36">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（3）健康生活与交通服务</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餐厅就餐、就医场景英语表达，学习限制性定语从句、被动语态翻译；车站餐厅点餐模拟，掌握交通服务场景核心词汇与句型；心理健康、个人理财主题阅读，渗透健康生活、理性消费理念。</w:t>
      </w:r>
    </w:p>
    <w:p w14:paraId="6F5D4E07">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（4）职场应用与高阶语法银行服务、预约场景英语沟通，学习虚拟语气、状语从句翻译技巧；商务信函、简历写作规范，结合职场需求设计模拟任务；分析不定式与动名词、分词的语法功能。</w:t>
      </w:r>
    </w:p>
    <w:p w14:paraId="2EC69896">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2" w:firstLineChars="200"/>
        <w:jc w:val="both"/>
        <w:textAlignment w:val="auto"/>
        <w:rPr>
          <w:rFonts w:hint="eastAsia" w:ascii="宋体" w:hAnsi="宋体" w:cs="宋体"/>
          <w:b/>
          <w:bCs/>
          <w:i w:val="0"/>
          <w:iCs w:val="0"/>
          <w:caps w:val="0"/>
          <w:color w:val="1C1F23"/>
          <w:spacing w:val="0"/>
          <w:sz w:val="21"/>
          <w:szCs w:val="21"/>
          <w:shd w:val="clear" w:color="auto" w:fill="FFFFFF"/>
          <w:lang w:eastAsia="zh-CN"/>
        </w:rPr>
      </w:pPr>
      <w:r>
        <w:rPr>
          <w:rFonts w:hint="eastAsia" w:ascii="宋体" w:hAnsi="宋体" w:eastAsia="宋体" w:cs="宋体"/>
          <w:b/>
          <w:bCs/>
          <w:i w:val="0"/>
          <w:iCs w:val="0"/>
          <w:caps w:val="0"/>
          <w:color w:val="1C1F23"/>
          <w:spacing w:val="0"/>
          <w:sz w:val="21"/>
          <w:szCs w:val="21"/>
          <w:shd w:val="clear" w:color="auto" w:fill="FFFFFF"/>
        </w:rPr>
        <w:t>教学要求</w:t>
      </w:r>
      <w:r>
        <w:rPr>
          <w:rFonts w:hint="eastAsia" w:ascii="宋体" w:hAnsi="宋体" w:cs="宋体"/>
          <w:b/>
          <w:bCs/>
          <w:i w:val="0"/>
          <w:iCs w:val="0"/>
          <w:caps w:val="0"/>
          <w:color w:val="1C1F23"/>
          <w:spacing w:val="0"/>
          <w:sz w:val="21"/>
          <w:szCs w:val="21"/>
          <w:shd w:val="clear" w:color="auto" w:fill="FFFFFF"/>
          <w:lang w:eastAsia="zh-CN"/>
        </w:rPr>
        <w:t>：</w:t>
      </w:r>
    </w:p>
    <w:p w14:paraId="6889EF4F">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（1）</w:t>
      </w:r>
      <w:r>
        <w:rPr>
          <w:rFonts w:hint="eastAsia" w:ascii="宋体" w:hAnsi="宋体" w:eastAsia="宋体" w:cs="宋体"/>
          <w:i w:val="0"/>
          <w:iCs w:val="0"/>
          <w:caps w:val="0"/>
          <w:color w:val="1C1F23"/>
          <w:spacing w:val="0"/>
          <w:sz w:val="21"/>
          <w:szCs w:val="21"/>
          <w:shd w:val="clear" w:color="auto" w:fill="FFFFFF"/>
        </w:rPr>
        <w:t>教师要求</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具备扎实的英语语言知识体系，熟练掌握任务驱动法、情景教学法等教学策略；能够将交通服务场景元素自然融入教学内容，深度挖掘思政教育点（如规则意识、文化自信）；精通多媒体课件制作、在线教学平台（如SPOC）应用等信息技术，优化教学过程。</w:t>
      </w:r>
    </w:p>
    <w:p w14:paraId="6FCFC3C6">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sz w:val="21"/>
          <w:szCs w:val="21"/>
          <w:shd w:val="clear" w:color="auto" w:fill="FFFFFF"/>
        </w:rPr>
        <w:t>（2）教学条件</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理论教学需配备多媒体教室，实践教学依托语音实验室，配备听力训练软件、口语互动设备；搭建在线教学平台，支持师生线上互动、作业批改及学习行为跟踪。</w:t>
      </w:r>
    </w:p>
    <w:p w14:paraId="17FC8FEB">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i w:val="0"/>
          <w:iCs w:val="0"/>
          <w:caps w:val="0"/>
          <w:color w:val="1C1F23"/>
          <w:spacing w:val="0"/>
          <w:sz w:val="21"/>
          <w:szCs w:val="21"/>
          <w:shd w:val="clear" w:color="auto" w:fill="FFFFFF"/>
        </w:rPr>
      </w:pP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cs="宋体"/>
          <w:i w:val="0"/>
          <w:iCs w:val="0"/>
          <w:caps w:val="0"/>
          <w:color w:val="1C1F23"/>
          <w:spacing w:val="0"/>
          <w:kern w:val="2"/>
          <w:sz w:val="21"/>
          <w:szCs w:val="21"/>
          <w:shd w:val="clear" w:color="auto" w:fill="FFFFFF"/>
          <w:lang w:val="en-US" w:eastAsia="zh-CN" w:bidi="ar-SA"/>
        </w:rPr>
        <w:t>3</w:t>
      </w:r>
      <w:r>
        <w:rPr>
          <w:rFonts w:hint="eastAsia" w:ascii="宋体" w:hAnsi="宋体" w:eastAsia="宋体" w:cs="宋体"/>
          <w:i w:val="0"/>
          <w:iCs w:val="0"/>
          <w:caps w:val="0"/>
          <w:color w:val="1C1F23"/>
          <w:spacing w:val="0"/>
          <w:kern w:val="2"/>
          <w:sz w:val="21"/>
          <w:szCs w:val="21"/>
          <w:shd w:val="clear" w:color="auto" w:fill="FFFFFF"/>
          <w:lang w:val="en-US" w:eastAsia="zh-CN" w:bidi="ar-SA"/>
        </w:rPr>
        <w:t>）</w:t>
      </w:r>
      <w:r>
        <w:rPr>
          <w:rFonts w:hint="eastAsia" w:ascii="宋体" w:hAnsi="宋体" w:eastAsia="宋体" w:cs="宋体"/>
          <w:i w:val="0"/>
          <w:iCs w:val="0"/>
          <w:caps w:val="0"/>
          <w:color w:val="1C1F23"/>
          <w:spacing w:val="0"/>
          <w:sz w:val="21"/>
          <w:szCs w:val="21"/>
          <w:shd w:val="clear" w:color="auto" w:fill="FFFFFF"/>
        </w:rPr>
        <w:t>教学方法</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任务驱动法：设计“模拟地铁站务员服务”“撰写交通通知”等实践任务，强化语言应用能力；情景教学法：通过角色扮演再现购票、点餐等场景，增强学习体验感；案例分析法：选取车站标识等实用文案例，解析写作逻辑；线上线下混合教学：利用在线平台布置预习任务（如观看交通场景微课），课堂聚焦重点讲解与互动。</w:t>
      </w:r>
    </w:p>
    <w:p w14:paraId="70493BC9">
      <w:pPr>
        <w:keepNext w:val="0"/>
        <w:keepLines w:val="0"/>
        <w:pageBreakBefore w:val="0"/>
        <w:widowControl w:val="0"/>
        <w:numPr>
          <w:ilvl w:val="0"/>
          <w:numId w:val="0"/>
        </w:numPr>
        <w:suppressLineNumbers w:val="0"/>
        <w:kinsoku/>
        <w:wordWrap/>
        <w:overflowPunct/>
        <w:topLinePunct w:val="0"/>
        <w:autoSpaceDE w:val="0"/>
        <w:autoSpaceDN/>
        <w:bidi w:val="0"/>
        <w:adjustRightInd/>
        <w:snapToGrid/>
        <w:spacing w:beforeAutospacing="0" w:afterAutospacing="0" w:line="400" w:lineRule="exact"/>
        <w:ind w:left="0" w:right="0" w:rightChars="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i w:val="0"/>
          <w:iCs w:val="0"/>
          <w:caps w:val="0"/>
          <w:color w:val="1C1F23"/>
          <w:spacing w:val="0"/>
          <w:sz w:val="21"/>
          <w:szCs w:val="21"/>
          <w:shd w:val="clear" w:color="auto" w:fill="FFFFFF"/>
        </w:rPr>
        <w:t>（4）考核评价</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过程考核占40%，综合考核占60%（期末综合测试）。</w:t>
      </w:r>
      <w:r>
        <w:rPr>
          <w:rFonts w:hint="eastAsia" w:ascii="宋体" w:hAnsi="宋体" w:cs="宋体"/>
          <w:i w:val="0"/>
          <w:iCs w:val="0"/>
          <w:caps w:val="0"/>
          <w:color w:val="1C1F23"/>
          <w:spacing w:val="0"/>
          <w:sz w:val="21"/>
          <w:szCs w:val="21"/>
          <w:shd w:val="clear" w:color="auto" w:fill="FFFFFF"/>
          <w:lang w:val="en-US" w:eastAsia="zh-CN"/>
        </w:rPr>
        <w:t>综合</w:t>
      </w:r>
      <w:r>
        <w:rPr>
          <w:rFonts w:hint="eastAsia" w:ascii="宋体" w:hAnsi="宋体" w:eastAsia="宋体" w:cs="宋体"/>
          <w:i w:val="0"/>
          <w:iCs w:val="0"/>
          <w:caps w:val="0"/>
          <w:color w:val="1C1F23"/>
          <w:spacing w:val="0"/>
          <w:sz w:val="21"/>
          <w:szCs w:val="21"/>
          <w:shd w:val="clear" w:color="auto" w:fill="FFFFFF"/>
        </w:rPr>
        <w:t>涵盖阅读</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cs="宋体"/>
          <w:i w:val="0"/>
          <w:iCs w:val="0"/>
          <w:caps w:val="0"/>
          <w:color w:val="1C1F23"/>
          <w:spacing w:val="0"/>
          <w:sz w:val="21"/>
          <w:szCs w:val="21"/>
          <w:shd w:val="clear" w:color="auto" w:fill="FFFFFF"/>
          <w:lang w:val="en-US" w:eastAsia="zh-CN"/>
        </w:rPr>
        <w:t>语法</w:t>
      </w:r>
      <w:r>
        <w:rPr>
          <w:rFonts w:hint="eastAsia" w:ascii="宋体" w:hAnsi="宋体" w:eastAsia="宋体" w:cs="宋体"/>
          <w:i w:val="0"/>
          <w:iCs w:val="0"/>
          <w:caps w:val="0"/>
          <w:color w:val="1C1F23"/>
          <w:spacing w:val="0"/>
          <w:sz w:val="21"/>
          <w:szCs w:val="21"/>
          <w:shd w:val="clear" w:color="auto" w:fill="FFFFFF"/>
        </w:rPr>
        <w:t>、</w:t>
      </w:r>
      <w:r>
        <w:rPr>
          <w:rFonts w:hint="eastAsia" w:ascii="宋体" w:hAnsi="宋体" w:cs="宋体"/>
          <w:i w:val="0"/>
          <w:iCs w:val="0"/>
          <w:caps w:val="0"/>
          <w:color w:val="1C1F23"/>
          <w:spacing w:val="0"/>
          <w:sz w:val="21"/>
          <w:szCs w:val="21"/>
          <w:shd w:val="clear" w:color="auto" w:fill="FFFFFF"/>
          <w:lang w:val="en-US" w:eastAsia="zh-CN"/>
        </w:rPr>
        <w:t>词汇、翻译、</w:t>
      </w:r>
      <w:r>
        <w:rPr>
          <w:rFonts w:hint="eastAsia" w:ascii="宋体" w:hAnsi="宋体" w:eastAsia="宋体" w:cs="宋体"/>
          <w:i w:val="0"/>
          <w:iCs w:val="0"/>
          <w:caps w:val="0"/>
          <w:color w:val="1C1F23"/>
          <w:spacing w:val="0"/>
          <w:sz w:val="21"/>
          <w:szCs w:val="21"/>
          <w:shd w:val="clear" w:color="auto" w:fill="FFFFFF"/>
        </w:rPr>
        <w:t>写作等多维度能力评测</w:t>
      </w:r>
      <w:r>
        <w:rPr>
          <w:rFonts w:hint="eastAsia" w:ascii="宋体" w:hAnsi="宋体" w:cs="宋体"/>
          <w:i w:val="0"/>
          <w:iCs w:val="0"/>
          <w:caps w:val="0"/>
          <w:color w:val="1C1F23"/>
          <w:spacing w:val="0"/>
          <w:sz w:val="21"/>
          <w:szCs w:val="21"/>
          <w:shd w:val="clear" w:color="auto" w:fill="FFFFFF"/>
          <w:lang w:eastAsia="zh-CN"/>
        </w:rPr>
        <w:t>，</w:t>
      </w:r>
      <w:r>
        <w:rPr>
          <w:rFonts w:hint="eastAsia" w:ascii="宋体" w:hAnsi="宋体" w:eastAsia="宋体" w:cs="宋体"/>
          <w:i w:val="0"/>
          <w:iCs w:val="0"/>
          <w:caps w:val="0"/>
          <w:color w:val="1C1F23"/>
          <w:spacing w:val="0"/>
          <w:sz w:val="21"/>
          <w:szCs w:val="21"/>
          <w:shd w:val="clear" w:color="auto" w:fill="FFFFFF"/>
        </w:rPr>
        <w:t>考查实际语言运用能力。</w:t>
      </w:r>
    </w:p>
    <w:p w14:paraId="6DB5C109">
      <w:pPr>
        <w:keepNext w:val="0"/>
        <w:keepLines w:val="0"/>
        <w:pageBreakBefore w:val="0"/>
        <w:wordWrap/>
        <w:topLinePunct w:val="0"/>
        <w:bidi w:val="0"/>
        <w:adjustRightInd w:val="0"/>
        <w:snapToGrid w:val="0"/>
        <w:spacing w:line="400" w:lineRule="exact"/>
        <w:ind w:left="0" w:right="0"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8.大学语文</w:t>
      </w:r>
    </w:p>
    <w:p w14:paraId="18442013">
      <w:pPr>
        <w:pStyle w:val="22"/>
        <w:keepNext w:val="0"/>
        <w:keepLines w:val="0"/>
        <w:pageBreakBefore w:val="0"/>
        <w:widowControl/>
        <w:kinsoku/>
        <w:wordWrap/>
        <w:overflowPunct/>
        <w:topLinePunct w:val="0"/>
        <w:autoSpaceDN/>
        <w:bidi w:val="0"/>
        <w:spacing w:beforeAutospacing="0" w:afterAutospacing="0" w:line="400" w:lineRule="exact"/>
        <w:ind w:left="0" w:right="0" w:firstLine="422" w:firstLineChars="200"/>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rPr>
        <w:t>课程目标：</w:t>
      </w:r>
    </w:p>
    <w:p w14:paraId="1B9DCEF3">
      <w:pPr>
        <w:pStyle w:val="2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（1）知识目标：掌握口语表达的基本技巧与礼仪规范，了解不同场景的语言特点；熟知中外经典文学作品的思想内涵与艺术手法；掌握各类应用文的格式规范与写作要求。</w:t>
      </w:r>
    </w:p>
    <w:p w14:paraId="6CAFA9F3">
      <w:pPr>
        <w:pStyle w:val="2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（2）能力目标：理解与运用祖国语言文字的能力（包括写作能力、语言表达能力、交际能力等）；掌握鉴赏评价文学作品的能力。</w:t>
      </w:r>
    </w:p>
    <w:p w14:paraId="30A27C41">
      <w:pPr>
        <w:pStyle w:val="22"/>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rPr>
        <w:t>（3）素质目标：了解中华民族的优秀传统文化，培养学生高尚的思想品质和良好的道德情操，接受爱国主义的熏陶和教育，增强民族感和自信心。</w:t>
      </w:r>
    </w:p>
    <w:p w14:paraId="4A22A585">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5FD93203">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（1）口语表达：涵盖普通话口语训练、日常交谈、求职等场景的表达技巧训练，以及</w:t>
      </w:r>
    </w:p>
    <w:p w14:paraId="52240588">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jc w:val="both"/>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语言逻辑、肢体语言与倾听能力的综合培养；（2）文学鉴赏：包含诗歌、散文、小说等文学作品的文本解读、艺术手法分析、思想内涵探究，以及审美能力与人文素养的提升；（3）应用写作：涉及行政公文、日常文书、事务性文书等实用文体的格式规范、写作方法及实际场景应用练习。</w:t>
      </w:r>
    </w:p>
    <w:p w14:paraId="09121F1A">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47CF4E1E">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教师要求：需掌握中国文学史上重要作家的代表作及风格，同时了解中外经典文学作品的核心思想与文化内涵。要强化阅读理解能力，能准确分析文本结构、把握主旨及艺术手法；提升写作水平，可撰写规范的议论文、应用文，做到逻辑清晰、语言流畅；还要具备口头表达能力，通过课堂讨论、演讲等形式清晰阐述观点。注重引导学生通过文学作品感悟人文精神，培养审美情趣与批判性思维，使其能将语文素养融入专业学习与生活实践，形成良好的文化品格。</w:t>
      </w:r>
    </w:p>
    <w:p w14:paraId="003AD761">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（2）</w:t>
      </w:r>
      <w:r>
        <w:rPr>
          <w:rFonts w:hint="eastAsia" w:ascii="宋体" w:hAnsi="宋体" w:eastAsia="宋体" w:cs="宋体"/>
          <w:b w:val="0"/>
          <w:bCs/>
          <w:kern w:val="2"/>
          <w:sz w:val="21"/>
          <w:szCs w:val="21"/>
          <w:lang w:val="en-US" w:eastAsia="zh-CN" w:bidi="ar"/>
        </w:rPr>
        <w:t>教学条件：多媒体辅助课件</w:t>
      </w:r>
    </w:p>
    <w:p w14:paraId="66D5C2EF">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（3）教学方法：现场教学法、小组讨论法、案例教学法、</w:t>
      </w:r>
      <w:r>
        <w:rPr>
          <w:rFonts w:hint="eastAsia" w:ascii="宋体" w:hAnsi="宋体" w:cs="宋体"/>
          <w:b w:val="0"/>
          <w:bCs/>
          <w:kern w:val="2"/>
          <w:sz w:val="21"/>
          <w:szCs w:val="21"/>
          <w:lang w:val="en-US" w:eastAsia="zh-CN" w:bidi="ar"/>
        </w:rPr>
        <w:t>情景</w:t>
      </w:r>
      <w:r>
        <w:rPr>
          <w:rFonts w:hint="eastAsia" w:ascii="宋体" w:hAnsi="宋体" w:eastAsia="宋体" w:cs="宋体"/>
          <w:b w:val="0"/>
          <w:bCs/>
          <w:kern w:val="2"/>
          <w:sz w:val="21"/>
          <w:szCs w:val="21"/>
          <w:lang w:val="en-US" w:eastAsia="zh-CN" w:bidi="ar"/>
        </w:rPr>
        <w:t>模拟法</w:t>
      </w:r>
    </w:p>
    <w:p w14:paraId="32097FC1">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jc w:val="both"/>
        <w:textAlignment w:val="auto"/>
        <w:rPr>
          <w:rFonts w:hint="eastAsia" w:ascii="Times New Roman" w:hAnsi="Times New Roman" w:cs="宋体"/>
          <w:b/>
          <w:szCs w:val="21"/>
          <w:lang w:val="en-US" w:eastAsia="zh-CN"/>
        </w:rPr>
      </w:pPr>
      <w:r>
        <w:rPr>
          <w:rFonts w:hint="eastAsia" w:ascii="宋体" w:hAnsi="宋体" w:eastAsia="宋体" w:cs="宋体"/>
          <w:b w:val="0"/>
          <w:bCs/>
          <w:kern w:val="2"/>
          <w:sz w:val="21"/>
          <w:szCs w:val="21"/>
          <w:lang w:val="en-US" w:eastAsia="zh-CN" w:bidi="ar"/>
        </w:rPr>
        <w:t>（4）考核评价：过程考核占</w:t>
      </w:r>
      <w:r>
        <w:rPr>
          <w:rFonts w:hint="default" w:ascii="宋体" w:hAnsi="宋体"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0%+期末综合考核占</w:t>
      </w:r>
      <w:r>
        <w:rPr>
          <w:rFonts w:hint="default" w:ascii="宋体" w:hAnsi="宋体"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41C843C5">
      <w:pPr>
        <w:keepNext w:val="0"/>
        <w:keepLines w:val="0"/>
        <w:pageBreakBefore w:val="0"/>
        <w:wordWrap/>
        <w:topLinePunct w:val="0"/>
        <w:bidi w:val="0"/>
        <w:adjustRightInd w:val="0"/>
        <w:snapToGrid w:val="0"/>
        <w:spacing w:line="400" w:lineRule="exact"/>
        <w:ind w:left="0" w:right="0"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9.高等数学A</w:t>
      </w:r>
    </w:p>
    <w:p w14:paraId="63441350">
      <w:pPr>
        <w:pStyle w:val="11"/>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67DB79E8">
      <w:pPr>
        <w:pStyle w:val="11"/>
        <w:keepNext w:val="0"/>
        <w:keepLines w:val="0"/>
        <w:pageBreakBefore w:val="0"/>
        <w:widowControl w:val="0"/>
        <w:suppressLineNumbers w:val="0"/>
        <w:wordWrap/>
        <w:topLinePunct w:val="0"/>
        <w:bidi w:val="0"/>
        <w:spacing w:beforeAutospacing="0" w:afterAutospacing="0" w:line="40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1）知识目标：通过本课程的学习，使学生掌握函数极限的定义和极限的运算法则，理解函数连续的定义；掌握函数微积分的基本概念、基本理论、基本运算和典型应用；掌握微分方程和多元函数微积分的基本概念、基本理论、基本运算和典型应用；通过各个教学环节逐步培养学生具有一定的运算能力、逻辑推理能力、抽象概括能力、综合运用所学知识分析和解决问题的能力、运用工具的能力和自学能力。</w:t>
      </w:r>
    </w:p>
    <w:p w14:paraId="0DEA0300">
      <w:pPr>
        <w:pStyle w:val="11"/>
        <w:keepNext w:val="0"/>
        <w:keepLines w:val="0"/>
        <w:pageBreakBefore w:val="0"/>
        <w:widowControl w:val="0"/>
        <w:suppressLineNumbers w:val="0"/>
        <w:wordWrap/>
        <w:topLinePunct w:val="0"/>
        <w:bidi w:val="0"/>
        <w:spacing w:beforeAutospacing="0" w:afterAutospacing="0" w:line="40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（2）能力目标：培养学生具有一定的运算能力、逻辑推理能力、抽象概括能力、综合运用所学知识分析和解决问题的能力、运用工具的能力和自学能力。</w:t>
      </w:r>
    </w:p>
    <w:p w14:paraId="2AE5165D">
      <w:pPr>
        <w:pStyle w:val="11"/>
        <w:keepNext w:val="0"/>
        <w:keepLines w:val="0"/>
        <w:pageBreakBefore w:val="0"/>
        <w:widowControl w:val="0"/>
        <w:suppressLineNumbers w:val="0"/>
        <w:wordWrap/>
        <w:topLinePunct w:val="0"/>
        <w:bidi w:val="0"/>
        <w:spacing w:beforeAutospacing="0" w:afterAutospacing="0" w:line="400" w:lineRule="exact"/>
        <w:ind w:left="0" w:right="0" w:firstLine="420" w:firstLineChars="200"/>
        <w:jc w:val="both"/>
        <w:rPr>
          <w:rFonts w:hint="eastAsia" w:ascii="宋体" w:hAnsi="宋体" w:eastAsia="宋体" w:cs="宋体"/>
          <w:bCs/>
          <w:color w:val="FF0000"/>
          <w:kern w:val="2"/>
          <w:sz w:val="21"/>
          <w:szCs w:val="21"/>
        </w:rPr>
      </w:pPr>
      <w:r>
        <w:rPr>
          <w:rFonts w:hint="eastAsia" w:ascii="宋体" w:hAnsi="宋体" w:eastAsia="宋体" w:cs="宋体"/>
          <w:bCs/>
          <w:kern w:val="2"/>
          <w:sz w:val="21"/>
          <w:szCs w:val="21"/>
          <w:lang w:val="en-US" w:eastAsia="zh-CN" w:bidi="ar"/>
        </w:rPr>
        <w:t>（3）素质目标：培养学生谦虚、好学的能力；培养学生勤于思考、做事认真的良好作风；培养学生良好的职业道德。</w:t>
      </w:r>
    </w:p>
    <w:p w14:paraId="2D24616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1"/>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57557353">
      <w:pPr>
        <w:pStyle w:val="11"/>
        <w:keepNext w:val="0"/>
        <w:keepLines w:val="0"/>
        <w:pageBreakBefore w:val="0"/>
        <w:widowControl w:val="0"/>
        <w:suppressLineNumbers w:val="0"/>
        <w:wordWrap/>
        <w:topLinePunct w:val="0"/>
        <w:bidi w:val="0"/>
        <w:spacing w:beforeAutospacing="0" w:afterAutospacing="0" w:line="40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第一学期的学习内容为:函数、极限与连续；一元函数微分学；一元函数积分学；</w:t>
      </w:r>
    </w:p>
    <w:p w14:paraId="093F639B">
      <w:pPr>
        <w:pStyle w:val="11"/>
        <w:keepNext w:val="0"/>
        <w:keepLines w:val="0"/>
        <w:pageBreakBefore w:val="0"/>
        <w:widowControl w:val="0"/>
        <w:suppressLineNumbers w:val="0"/>
        <w:wordWrap/>
        <w:topLinePunct w:val="0"/>
        <w:bidi w:val="0"/>
        <w:spacing w:beforeAutospacing="0" w:afterAutospacing="0" w:line="400" w:lineRule="exact"/>
        <w:ind w:left="0" w:right="0" w:firstLine="420" w:firstLineChars="20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第二学期的学习内容为:微分方程；多元函数微分学；行列式和矩阵、线性方程组。</w:t>
      </w:r>
    </w:p>
    <w:p w14:paraId="54167822">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1"/>
        <w:jc w:val="both"/>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517DBDC5">
      <w:pPr>
        <w:keepNext w:val="0"/>
        <w:keepLines w:val="0"/>
        <w:pageBreakBefore w:val="0"/>
        <w:widowControl w:val="0"/>
        <w:numPr>
          <w:ilvl w:val="0"/>
          <w:numId w:val="0"/>
        </w:numPr>
        <w:suppressLineNumbers w:val="0"/>
        <w:wordWrap/>
        <w:topLinePunct w:val="0"/>
        <w:bidi w:val="0"/>
        <w:adjustRightInd w:val="0"/>
        <w:snapToGrid w:val="0"/>
        <w:spacing w:beforeAutospacing="0" w:afterAutospacing="0" w:line="400" w:lineRule="exact"/>
        <w:ind w:left="0" w:leftChars="0" w:right="0" w:rightChars="0" w:firstLine="420" w:firstLineChars="0"/>
        <w:jc w:val="both"/>
        <w:rPr>
          <w:rFonts w:hint="eastAsia" w:ascii="宋体" w:hAnsi="宋体" w:eastAsia="宋体" w:cs="宋体"/>
          <w:bCs/>
          <w:kern w:val="2"/>
          <w:sz w:val="21"/>
          <w:szCs w:val="21"/>
        </w:rPr>
      </w:pPr>
      <w:r>
        <w:rPr>
          <w:rFonts w:hint="eastAsia" w:ascii="宋体" w:hAnsi="宋体" w:cs="宋体"/>
          <w:bCs/>
          <w:kern w:val="2"/>
          <w:sz w:val="21"/>
          <w:szCs w:val="21"/>
          <w:lang w:val="en-US" w:eastAsia="zh-CN" w:bidi="ar"/>
        </w:rPr>
        <w:t>（1）</w:t>
      </w:r>
      <w:r>
        <w:rPr>
          <w:rFonts w:hint="eastAsia" w:ascii="宋体" w:hAnsi="宋体" w:eastAsia="宋体" w:cs="宋体"/>
          <w:bCs/>
          <w:kern w:val="2"/>
          <w:sz w:val="21"/>
          <w:szCs w:val="21"/>
          <w:lang w:val="en-US" w:eastAsia="zh-CN" w:bidi="ar"/>
        </w:rPr>
        <w:t>教师要求：掌握函数极限的定义和极限的运算法则，掌握函数连续的定义；掌握一元函数微积分、定积分、不定积分的基本概念、基本理论、基本运算和典型应用；掌握行列式和矩阵、线性方程组的基本概念、基本理论、运算法则；掌握微分方程和多元函数微积分的基本概念、基本理论、基本运算和典型应用；能用通俗易懂的语言给学生传授相关知识。</w:t>
      </w:r>
    </w:p>
    <w:p w14:paraId="3E194EDC">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（2）教学条件：多媒体辅助课件,投影设备,黑板等。</w:t>
      </w:r>
    </w:p>
    <w:p w14:paraId="5A608650">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宋体" w:hAnsi="宋体" w:eastAsia="宋体" w:cs="宋体"/>
          <w:bCs/>
          <w:kern w:val="2"/>
          <w:sz w:val="21"/>
          <w:szCs w:val="21"/>
        </w:rPr>
      </w:pPr>
      <w:r>
        <w:rPr>
          <w:rFonts w:hint="eastAsia" w:ascii="宋体" w:hAnsi="宋体" w:eastAsia="宋体" w:cs="宋体"/>
          <w:bCs/>
          <w:kern w:val="2"/>
          <w:sz w:val="21"/>
          <w:szCs w:val="21"/>
          <w:lang w:val="en-US" w:eastAsia="zh-CN" w:bidi="ar"/>
        </w:rPr>
        <w:t>（3）教学方法：现场教学法、分组讨论法、直观演示法、自主学习法和任务驱动法。</w:t>
      </w:r>
    </w:p>
    <w:p w14:paraId="5CD6025F">
      <w:pPr>
        <w:keepNext w:val="0"/>
        <w:keepLines w:val="0"/>
        <w:pageBreakBefore w:val="0"/>
        <w:widowControl w:val="0"/>
        <w:suppressLineNumbers w:val="0"/>
        <w:wordWrap/>
        <w:topLinePunct w:val="0"/>
        <w:bidi w:val="0"/>
        <w:adjustRightInd w:val="0"/>
        <w:snapToGrid w:val="0"/>
        <w:spacing w:beforeAutospacing="0" w:afterAutospacing="0" w:line="400" w:lineRule="exact"/>
        <w:ind w:left="0" w:right="0" w:firstLine="420"/>
        <w:jc w:val="both"/>
        <w:rPr>
          <w:rFonts w:hint="eastAsia" w:ascii="Times New Roman" w:hAnsi="Times New Roman" w:cs="宋体"/>
          <w:b/>
          <w:szCs w:val="21"/>
          <w:lang w:val="en-US" w:eastAsia="zh-CN"/>
        </w:rPr>
      </w:pPr>
      <w:r>
        <w:rPr>
          <w:rFonts w:hint="eastAsia" w:ascii="宋体" w:hAnsi="宋体" w:eastAsia="宋体" w:cs="宋体"/>
          <w:bCs/>
          <w:kern w:val="2"/>
          <w:sz w:val="21"/>
          <w:szCs w:val="21"/>
          <w:lang w:val="en-US" w:eastAsia="zh-CN" w:bidi="ar"/>
        </w:rPr>
        <w:t>（4）考核评价：过程考核占40%+综合考核占60%。</w:t>
      </w:r>
    </w:p>
    <w:p w14:paraId="770119EC">
      <w:pPr>
        <w:keepNext w:val="0"/>
        <w:keepLines w:val="0"/>
        <w:pageBreakBefore w:val="0"/>
        <w:wordWrap/>
        <w:topLinePunct w:val="0"/>
        <w:bidi w:val="0"/>
        <w:adjustRightInd w:val="0"/>
        <w:snapToGrid w:val="0"/>
        <w:spacing w:line="400" w:lineRule="exact"/>
        <w:ind w:left="0" w:right="0" w:firstLine="422" w:firstLineChars="200"/>
        <w:rPr>
          <w:rFonts w:hint="default" w:ascii="Times New Roman" w:hAnsi="Times New Roman" w:cs="宋体"/>
          <w:b/>
          <w:szCs w:val="21"/>
          <w:lang w:val="en-US" w:eastAsia="zh-CN"/>
        </w:rPr>
      </w:pPr>
      <w:r>
        <w:rPr>
          <w:rFonts w:hint="eastAsia" w:ascii="Times New Roman" w:hAnsi="Times New Roman" w:cs="宋体"/>
          <w:b/>
          <w:szCs w:val="21"/>
          <w:lang w:val="en-US" w:eastAsia="zh-CN"/>
        </w:rPr>
        <w:t>10.大学体育</w:t>
      </w:r>
    </w:p>
    <w:p w14:paraId="3B48329D">
      <w:pPr>
        <w:keepNext w:val="0"/>
        <w:keepLines w:val="0"/>
        <w:pageBreakBefore w:val="0"/>
        <w:widowControl w:val="0"/>
        <w:kinsoku/>
        <w:wordWrap/>
        <w:overflowPunct/>
        <w:topLinePunct w:val="0"/>
        <w:autoSpaceDN/>
        <w:bidi w:val="0"/>
        <w:spacing w:beforeAutospacing="0" w:afterAutospacing="0" w:line="400" w:lineRule="exact"/>
        <w:ind w:left="0" w:right="0" w:firstLine="632" w:firstLineChars="3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课程目标：</w:t>
      </w:r>
    </w:p>
    <w:p w14:paraId="2ED2A0E7">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1</w:t>
      </w:r>
      <w:r>
        <w:rPr>
          <w:rFonts w:hint="eastAsia" w:ascii="宋体" w:hAnsi="宋体" w:eastAsia="宋体" w:cs="宋体"/>
          <w:bCs/>
          <w:kern w:val="2"/>
          <w:sz w:val="21"/>
          <w:szCs w:val="21"/>
          <w:lang w:eastAsia="zh-CN"/>
        </w:rPr>
        <w:t>）知识目标：按照《全国普通高等学校体育课程教学指导纲要》《高等学校体育工作基本标准》等文件要求，通过体育课程教学使学生基本掌握两项以上体育运动技能和相应竞赛规则，同时，提高学生遵守竞赛规则、交通法规的意识，提高学生体育运动水平和体质健康水平，并学会常见运动损伤的预防和处置方法。</w:t>
      </w:r>
    </w:p>
    <w:p w14:paraId="353A574F">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2</w:t>
      </w:r>
      <w:r>
        <w:rPr>
          <w:rFonts w:hint="eastAsia" w:ascii="宋体" w:hAnsi="宋体" w:eastAsia="宋体" w:cs="宋体"/>
          <w:bCs/>
          <w:kern w:val="2"/>
          <w:sz w:val="21"/>
          <w:szCs w:val="21"/>
          <w:lang w:eastAsia="zh-CN"/>
        </w:rPr>
        <w:t>）能力目标：具备自我开展体育健康卫生知识的学习利用能力；能基本掌握课堂学习到的体育运动技能并运用到课余体育锻炼中；能准确、客观了解、评价自己的身体状况，不断增强自身体质；能够自我编制合理、可行的锻炼计划，科学开展体育锻炼，树立终身体育意识和自觉遵守交通法规的思想。</w:t>
      </w:r>
    </w:p>
    <w:p w14:paraId="6B7BA547">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
          <w:kern w:val="2"/>
          <w:sz w:val="21"/>
          <w:szCs w:val="21"/>
          <w:lang w:eastAsia="zh-CN"/>
        </w:rPr>
      </w:pPr>
      <w:r>
        <w:rPr>
          <w:rFonts w:hint="eastAsia" w:ascii="宋体" w:hAnsi="宋体" w:eastAsia="宋体" w:cs="宋体"/>
          <w:bCs/>
          <w:kern w:val="2"/>
          <w:sz w:val="21"/>
          <w:szCs w:val="21"/>
          <w:lang w:eastAsia="zh-CN"/>
        </w:rPr>
        <w:t>（</w:t>
      </w:r>
      <w:r>
        <w:rPr>
          <w:rFonts w:ascii="宋体" w:hAnsi="宋体" w:eastAsia="宋体" w:cs="宋体"/>
          <w:bCs/>
          <w:kern w:val="2"/>
          <w:sz w:val="21"/>
          <w:szCs w:val="21"/>
          <w:lang w:eastAsia="zh-CN"/>
        </w:rPr>
        <w:t>3</w:t>
      </w:r>
      <w:r>
        <w:rPr>
          <w:rFonts w:hint="eastAsia" w:ascii="宋体" w:hAnsi="宋体" w:eastAsia="宋体" w:cs="宋体"/>
          <w:bCs/>
          <w:kern w:val="2"/>
          <w:sz w:val="21"/>
          <w:szCs w:val="21"/>
          <w:lang w:eastAsia="zh-CN"/>
        </w:rPr>
        <w:t>）素质目标：增强学生的爱国主义、集体主义精神，培养学生团结、互助、拼搏意识，具备应对困难、挫折的能力。具备正确的体育价值观和健康观，具备较强的身体素质和强健体魄，树立“健康第一”思想。</w:t>
      </w:r>
      <w:r>
        <w:rPr>
          <w:rFonts w:hint="eastAsia" w:ascii="宋体" w:hAnsi="宋体" w:eastAsia="宋体" w:cs="宋体"/>
          <w:bCs/>
          <w:kern w:val="2"/>
          <w:sz w:val="21"/>
          <w:szCs w:val="21"/>
          <w:lang w:eastAsia="zh-CN"/>
        </w:rPr>
        <w:cr/>
      </w:r>
      <w:r>
        <w:rPr>
          <w:rFonts w:hint="eastAsia" w:ascii="宋体" w:hAnsi="宋体" w:eastAsia="宋体" w:cs="宋体"/>
          <w:bCs/>
          <w:kern w:val="2"/>
          <w:sz w:val="21"/>
          <w:szCs w:val="21"/>
          <w:lang w:val="en-US" w:eastAsia="zh-CN"/>
        </w:rPr>
        <w:t xml:space="preserve">    </w:t>
      </w:r>
      <w:r>
        <w:rPr>
          <w:rFonts w:hint="eastAsia" w:ascii="宋体" w:hAnsi="宋体" w:eastAsia="宋体" w:cs="宋体"/>
          <w:b/>
          <w:kern w:val="2"/>
          <w:sz w:val="21"/>
          <w:szCs w:val="21"/>
          <w:lang w:eastAsia="zh-CN"/>
        </w:rPr>
        <w:t>主要内容：</w:t>
      </w:r>
    </w:p>
    <w:p w14:paraId="182AEDC1">
      <w:pPr>
        <w:keepNext w:val="0"/>
        <w:keepLines w:val="0"/>
        <w:pageBreakBefore w:val="0"/>
        <w:widowControl w:val="0"/>
        <w:kinsoku/>
        <w:wordWrap/>
        <w:overflowPunct/>
        <w:topLinePunct w:val="0"/>
        <w:autoSpaceDN/>
        <w:bidi w:val="0"/>
        <w:spacing w:beforeAutospacing="0" w:afterAutospacing="0" w:line="400" w:lineRule="exact"/>
        <w:ind w:left="0" w:right="0" w:firstLine="420" w:firstLineChars="200"/>
        <w:textAlignment w:val="auto"/>
        <w:rPr>
          <w:rFonts w:hint="eastAsia" w:ascii="宋体" w:hAnsi="宋体" w:eastAsia="宋体" w:cs="宋体"/>
          <w:bCs/>
          <w:kern w:val="2"/>
          <w:sz w:val="21"/>
          <w:szCs w:val="21"/>
          <w:lang w:eastAsia="zh-CN"/>
        </w:rPr>
      </w:pPr>
      <w:bookmarkStart w:id="16" w:name="_Hlk204683974"/>
      <w:r>
        <w:rPr>
          <w:rFonts w:hint="eastAsia" w:ascii="宋体" w:hAnsi="宋体" w:eastAsia="宋体" w:cs="宋体"/>
          <w:bCs/>
          <w:kern w:val="2"/>
          <w:sz w:val="21"/>
          <w:szCs w:val="21"/>
          <w:lang w:eastAsia="zh-CN"/>
        </w:rPr>
        <w:t>（1）</w:t>
      </w:r>
      <w:bookmarkEnd w:id="16"/>
      <w:r>
        <w:rPr>
          <w:rFonts w:hint="eastAsia" w:ascii="宋体" w:hAnsi="宋体" w:eastAsia="宋体" w:cs="宋体"/>
          <w:bCs/>
          <w:kern w:val="2"/>
          <w:sz w:val="21"/>
          <w:szCs w:val="21"/>
          <w:lang w:eastAsia="zh-CN"/>
        </w:rPr>
        <w:t>第一学期的学生体育运动技能学习内容均为二十六式陈式太极拳，并辅以健康体育理论知识、身体素质练习及校园跑活动；（2）第二、三、四学期的学生根据自己的身体条件、运动基础和兴趣、爱好选择专项上课。教学内容以学生所选运动项目为主，目前为学生提供的运动项目包括：篮球、足球、排球、气排球、田径、羽毛球、乒乓球、网球、武术、跆拳道、太极扇、太极剑、健美操、轮滑、体育舞蹈、排舞、毽球等。</w:t>
      </w:r>
    </w:p>
    <w:p w14:paraId="762F9275">
      <w:pPr>
        <w:keepNext w:val="0"/>
        <w:keepLines w:val="0"/>
        <w:pageBreakBefore w:val="0"/>
        <w:widowControl w:val="0"/>
        <w:kinsoku/>
        <w:wordWrap/>
        <w:overflowPunct/>
        <w:topLinePunct w:val="0"/>
        <w:autoSpaceDN/>
        <w:bidi w:val="0"/>
        <w:adjustRightInd w:val="0"/>
        <w:snapToGrid w:val="0"/>
        <w:spacing w:beforeAutospacing="0" w:afterAutospacing="0" w:line="400" w:lineRule="exact"/>
        <w:ind w:left="0" w:right="0" w:firstLine="422" w:firstLineChars="200"/>
        <w:textAlignment w:val="auto"/>
        <w:rPr>
          <w:rFonts w:hint="eastAsia" w:ascii="宋体" w:hAnsi="宋体" w:eastAsia="宋体" w:cs="宋体"/>
          <w:b/>
          <w:kern w:val="2"/>
          <w:sz w:val="21"/>
          <w:szCs w:val="21"/>
          <w:lang w:eastAsia="zh-CN"/>
        </w:rPr>
      </w:pPr>
      <w:r>
        <w:rPr>
          <w:rFonts w:hint="eastAsia" w:ascii="宋体" w:hAnsi="宋体" w:eastAsia="宋体" w:cs="宋体"/>
          <w:b/>
          <w:kern w:val="2"/>
          <w:sz w:val="21"/>
          <w:szCs w:val="21"/>
          <w:lang w:eastAsia="zh-CN"/>
        </w:rPr>
        <w:t>教学要求：</w:t>
      </w:r>
    </w:p>
    <w:p w14:paraId="7F8D9B34">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left="0"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1</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师要求：熟练掌握二十六式陈式太极拳相关理论与技能，熟悉所教体育运动技能课程的技术知识和运动技能，熟练掌握科学、合理的体育课堂教学方式、方法，掌握扎实的体育运动理论知识和健康卫生知识，具备较高职业素养高和教育教学能力。</w:t>
      </w:r>
    </w:p>
    <w:p w14:paraId="044AD114">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left="0"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2</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教学条件：室内理论课拥有多媒体等辅助课件,实践课在体育馆或室外相应体育运动场地，体育馆内拥有教学所需的灯光设备、运动器材和运动场地，室外体育场地及运动器材能满足体育课堂教学需要。</w:t>
      </w:r>
    </w:p>
    <w:p w14:paraId="6827D234">
      <w:pPr>
        <w:keepNext w:val="0"/>
        <w:keepLines w:val="0"/>
        <w:pageBreakBefore w:val="0"/>
        <w:widowControl w:val="0"/>
        <w:numPr>
          <w:ilvl w:val="0"/>
          <w:numId w:val="0"/>
        </w:numPr>
        <w:kinsoku/>
        <w:wordWrap/>
        <w:overflowPunct/>
        <w:topLinePunct w:val="0"/>
        <w:autoSpaceDN/>
        <w:bidi w:val="0"/>
        <w:adjustRightInd w:val="0"/>
        <w:snapToGrid w:val="0"/>
        <w:spacing w:beforeAutospacing="0" w:afterAutospacing="0" w:line="400" w:lineRule="exact"/>
        <w:ind w:left="0" w:right="0" w:rightChars="0" w:firstLine="420" w:firstLineChars="200"/>
        <w:textAlignment w:val="auto"/>
        <w:rPr>
          <w:rFonts w:hint="eastAsia" w:ascii="宋体" w:hAnsi="宋体" w:eastAsia="宋体" w:cs="宋体"/>
          <w:bCs/>
          <w:kern w:val="2"/>
          <w:sz w:val="21"/>
          <w:szCs w:val="21"/>
          <w:lang w:eastAsia="zh-CN"/>
        </w:rPr>
      </w:pPr>
      <w:r>
        <w:rPr>
          <w:rFonts w:hint="eastAsia" w:ascii="宋体" w:hAnsi="宋体" w:cs="宋体"/>
          <w:bCs/>
          <w:kern w:val="2"/>
          <w:sz w:val="21"/>
          <w:szCs w:val="21"/>
          <w:lang w:eastAsia="zh-CN"/>
        </w:rPr>
        <w:t>（</w:t>
      </w:r>
      <w:r>
        <w:rPr>
          <w:rFonts w:hint="eastAsia" w:ascii="宋体" w:hAnsi="宋体" w:cs="宋体"/>
          <w:bCs/>
          <w:kern w:val="2"/>
          <w:sz w:val="21"/>
          <w:szCs w:val="21"/>
          <w:lang w:val="en-US" w:eastAsia="zh-CN"/>
        </w:rPr>
        <w:t>3</w:t>
      </w:r>
      <w:r>
        <w:rPr>
          <w:rFonts w:hint="eastAsia" w:ascii="宋体" w:hAnsi="宋体" w:cs="宋体"/>
          <w:bCs/>
          <w:kern w:val="2"/>
          <w:sz w:val="21"/>
          <w:szCs w:val="21"/>
          <w:lang w:eastAsia="zh-CN"/>
        </w:rPr>
        <w:t>）</w:t>
      </w:r>
      <w:r>
        <w:rPr>
          <w:rFonts w:hint="eastAsia" w:ascii="宋体" w:hAnsi="宋体" w:eastAsia="宋体" w:cs="宋体"/>
          <w:bCs/>
          <w:kern w:val="2"/>
          <w:sz w:val="21"/>
          <w:szCs w:val="21"/>
          <w:lang w:eastAsia="zh-CN"/>
        </w:rPr>
        <w:t>教学方法：语言法、示范法、完整教学法、分解教学法、预防和纠正错误动作法、游戏练习法、比赛练习法、综合练习法、循环练习法、重复练习法、变换练习法等。</w:t>
      </w:r>
    </w:p>
    <w:p w14:paraId="36F4EB33">
      <w:pPr>
        <w:keepNext w:val="0"/>
        <w:keepLines w:val="0"/>
        <w:pageBreakBefore w:val="0"/>
        <w:widowControl w:val="0"/>
        <w:kinsoku/>
        <w:wordWrap/>
        <w:overflowPunct/>
        <w:topLinePunct w:val="0"/>
        <w:autoSpaceDN/>
        <w:bidi w:val="0"/>
        <w:adjustRightInd w:val="0"/>
        <w:snapToGrid w:val="0"/>
        <w:spacing w:beforeAutospacing="0" w:afterAutospacing="0" w:line="400" w:lineRule="exact"/>
        <w:ind w:left="0" w:right="0" w:firstLine="420" w:firstLineChars="200"/>
        <w:textAlignment w:val="auto"/>
        <w:rPr>
          <w:rFonts w:hint="eastAsia" w:ascii="Times New Roman" w:hAnsi="Times New Roman" w:cs="宋体"/>
          <w:b/>
          <w:szCs w:val="21"/>
        </w:rPr>
      </w:pPr>
      <w:r>
        <w:rPr>
          <w:rFonts w:hint="eastAsia" w:ascii="宋体" w:hAnsi="宋体" w:eastAsia="宋体" w:cs="宋体"/>
          <w:bCs/>
          <w:kern w:val="2"/>
          <w:sz w:val="21"/>
          <w:szCs w:val="21"/>
          <w:lang w:eastAsia="zh-CN"/>
        </w:rPr>
        <w:t>（4）考核评价：体育课程考核采取过程性考核与</w:t>
      </w:r>
      <w:bookmarkStart w:id="17" w:name="_Hlk204686324"/>
      <w:r>
        <w:rPr>
          <w:rFonts w:hint="eastAsia" w:ascii="宋体" w:hAnsi="宋体" w:eastAsia="宋体" w:cs="宋体"/>
          <w:bCs/>
          <w:kern w:val="2"/>
          <w:sz w:val="21"/>
          <w:szCs w:val="21"/>
          <w:lang w:eastAsia="zh-CN"/>
        </w:rPr>
        <w:t>终结性考核</w:t>
      </w:r>
      <w:bookmarkEnd w:id="17"/>
      <w:r>
        <w:rPr>
          <w:rFonts w:hint="eastAsia" w:ascii="宋体" w:hAnsi="宋体" w:eastAsia="宋体" w:cs="宋体"/>
          <w:bCs/>
          <w:kern w:val="2"/>
          <w:sz w:val="21"/>
          <w:szCs w:val="21"/>
          <w:lang w:eastAsia="zh-CN"/>
        </w:rPr>
        <w:t>相结合，课内、课外（校园跑）相结合的方式，过程考核成绩占比20%，综合考核成绩占比80%，总分为100分。过程考核包括：课堂测验、课堂学习态度、课堂练习及进步情况等。终结性考核包括一般身体素质、专项能力发展所需的专项素质、专项运动技能。</w:t>
      </w:r>
    </w:p>
    <w:p w14:paraId="5B3BEA16">
      <w:pPr>
        <w:keepNext w:val="0"/>
        <w:keepLines w:val="0"/>
        <w:pageBreakBefore w:val="0"/>
        <w:wordWrap/>
        <w:topLinePunct w:val="0"/>
        <w:bidi w:val="0"/>
        <w:adjustRightInd w:val="0"/>
        <w:snapToGrid w:val="0"/>
        <w:spacing w:line="400" w:lineRule="exact"/>
        <w:ind w:left="0" w:right="0"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1</w:t>
      </w:r>
      <w:r>
        <w:rPr>
          <w:rFonts w:hint="eastAsia" w:ascii="Times New Roman" w:hAnsi="Times New Roman" w:cs="宋体"/>
          <w:b/>
          <w:szCs w:val="21"/>
        </w:rPr>
        <w:t>.信息技术与人工智能基础</w:t>
      </w:r>
    </w:p>
    <w:p w14:paraId="65E3F2B0">
      <w:pPr>
        <w:keepNext w:val="0"/>
        <w:keepLines w:val="0"/>
        <w:pageBreakBefore w:val="0"/>
        <w:wordWrap/>
        <w:topLinePunct w:val="0"/>
        <w:bidi w:val="0"/>
        <w:adjustRightInd w:val="0"/>
        <w:snapToGrid w:val="0"/>
        <w:spacing w:line="400" w:lineRule="exact"/>
        <w:ind w:left="0" w:right="0" w:firstLine="422" w:firstLineChars="200"/>
        <w:rPr>
          <w:rFonts w:ascii="Times New Roman" w:hAnsi="Times New Roman"/>
          <w:szCs w:val="21"/>
        </w:rPr>
      </w:pPr>
      <w:r>
        <w:rPr>
          <w:rFonts w:hint="eastAsia" w:ascii="Times New Roman" w:hAnsi="Times New Roman" w:cs="宋体"/>
          <w:b/>
          <w:szCs w:val="21"/>
        </w:rPr>
        <w:t>课程目标：</w:t>
      </w:r>
      <w:r>
        <w:rPr>
          <w:rFonts w:hint="eastAsia" w:ascii="Times New Roman" w:hAnsi="Times New Roman" w:cs="宋体"/>
          <w:bCs/>
          <w:szCs w:val="21"/>
        </w:rPr>
        <w:t>信息技术与人工智能基础是面向全校各专科专业学生开设的通识必修课程。本课程主要介绍计算机基础知识、Office应用、人工智能基础、关键技术及应用。</w:t>
      </w:r>
      <w:r>
        <w:rPr>
          <w:rFonts w:ascii="Times New Roman" w:hAnsi="Times New Roman"/>
          <w:szCs w:val="21"/>
        </w:rPr>
        <w:t>通过本课程的理论学习，使学生具备如下知识和能力：</w:t>
      </w:r>
    </w:p>
    <w:p w14:paraId="45BF73B3">
      <w:pPr>
        <w:pStyle w:val="22"/>
        <w:keepNext w:val="0"/>
        <w:keepLines w:val="0"/>
        <w:pageBreakBefore w:val="0"/>
        <w:wordWrap/>
        <w:topLinePunct w:val="0"/>
        <w:bidi w:val="0"/>
        <w:spacing w:line="400" w:lineRule="exact"/>
        <w:ind w:left="0" w:right="0" w:firstLine="210" w:firstLineChars="100"/>
        <w:rPr>
          <w:rFonts w:hint="eastAsia"/>
          <w:bCs/>
          <w:lang w:eastAsia="zh-CN"/>
        </w:rPr>
      </w:pPr>
      <w:r>
        <w:rPr>
          <w:rFonts w:hint="eastAsia"/>
          <w:bCs/>
          <w:lang w:eastAsia="zh-CN"/>
        </w:rPr>
        <w:t>（</w:t>
      </w:r>
      <w:r>
        <w:rPr>
          <w:bCs/>
          <w:lang w:eastAsia="zh-CN"/>
        </w:rPr>
        <w:t>1</w:t>
      </w:r>
      <w:r>
        <w:rPr>
          <w:rFonts w:hint="eastAsia"/>
          <w:bCs/>
          <w:lang w:eastAsia="zh-CN"/>
        </w:rPr>
        <w:t>）知识目标：了解基本的计算机知识和人工智能发展历史、关键技术，深刻认识我国在信息科技领域取得的巨大成就与面临的机遇挑战；系统掌握信息技术与人工智能（概念、原理、技术流派）的核心基础知识，并深刻理解其在交通领域（如自动驾驶、智慧物流、车联网、北斗导航）的关键应用、国家战略布局以及伴随的伦理挑战与社会责任。</w:t>
      </w:r>
    </w:p>
    <w:p w14:paraId="07ED3137">
      <w:pPr>
        <w:pStyle w:val="22"/>
        <w:keepNext w:val="0"/>
        <w:keepLines w:val="0"/>
        <w:pageBreakBefore w:val="0"/>
        <w:wordWrap/>
        <w:topLinePunct w:val="0"/>
        <w:bidi w:val="0"/>
        <w:spacing w:line="400" w:lineRule="exact"/>
        <w:ind w:left="0" w:right="0" w:firstLine="210" w:firstLineChars="100"/>
        <w:rPr>
          <w:rFonts w:hint="eastAsia"/>
          <w:bCs/>
          <w:lang w:eastAsia="zh-CN"/>
        </w:rPr>
      </w:pPr>
      <w:r>
        <w:rPr>
          <w:rFonts w:hint="eastAsia"/>
          <w:bCs/>
          <w:lang w:eastAsia="zh-CN"/>
        </w:rPr>
        <w:t>（</w:t>
      </w:r>
      <w:r>
        <w:rPr>
          <w:bCs/>
          <w:lang w:eastAsia="zh-CN"/>
        </w:rPr>
        <w:t>2</w:t>
      </w:r>
      <w:r>
        <w:rPr>
          <w:rFonts w:hint="eastAsia"/>
          <w:bCs/>
          <w:lang w:eastAsia="zh-CN"/>
        </w:rPr>
        <w:t>）能力目标：培养学生熟练运用信息技术工具（办公软件、信息检索）、掌握基础编程与数据处理技能、初步应用与评估人工智能解决方案的能力，并着重提升其在交通场景下分析问题、批判性评估技术方案、融合跨学科知识以及强化信息安全与数据安全意识的实践能力。</w:t>
      </w:r>
    </w:p>
    <w:p w14:paraId="5754AF09">
      <w:pPr>
        <w:pStyle w:val="22"/>
        <w:keepNext w:val="0"/>
        <w:keepLines w:val="0"/>
        <w:pageBreakBefore w:val="0"/>
        <w:wordWrap/>
        <w:topLinePunct w:val="0"/>
        <w:bidi w:val="0"/>
        <w:spacing w:line="400" w:lineRule="exact"/>
        <w:ind w:left="0" w:right="0" w:firstLine="210" w:firstLineChars="100"/>
        <w:rPr>
          <w:bCs/>
          <w:lang w:eastAsia="zh-CN"/>
        </w:rPr>
      </w:pPr>
      <w:r>
        <w:rPr>
          <w:rFonts w:hint="eastAsia"/>
          <w:bCs/>
          <w:lang w:eastAsia="zh-CN"/>
        </w:rPr>
        <w:t>（</w:t>
      </w:r>
      <w:r>
        <w:rPr>
          <w:bCs/>
          <w:lang w:eastAsia="zh-CN"/>
        </w:rPr>
        <w:t>3</w:t>
      </w:r>
      <w:r>
        <w:rPr>
          <w:rFonts w:hint="eastAsia"/>
          <w:bCs/>
          <w:lang w:eastAsia="zh-CN"/>
        </w:rPr>
        <w:t>）素质目标：培养学生在学习和运用信息技术、人工智能解决交通问题时所需的严谨求实、精益求精的态度，强调系统可靠性、数据准确性在交通应用中的极端重要性。树立诚信意识，尊重知识产权，遵守学术规范和职业道德。</w:t>
      </w:r>
    </w:p>
    <w:p w14:paraId="0105D19B">
      <w:pPr>
        <w:pStyle w:val="22"/>
        <w:keepNext w:val="0"/>
        <w:keepLines w:val="0"/>
        <w:pageBreakBefore w:val="0"/>
        <w:wordWrap/>
        <w:topLinePunct w:val="0"/>
        <w:bidi w:val="0"/>
        <w:spacing w:line="400" w:lineRule="exact"/>
        <w:ind w:left="0" w:right="0" w:firstLine="422" w:firstLineChars="200"/>
        <w:rPr>
          <w:rFonts w:ascii="Times New Roman" w:hAnsi="Times New Roman"/>
          <w:b/>
          <w:lang w:eastAsia="zh-CN"/>
        </w:rPr>
      </w:pPr>
      <w:r>
        <w:rPr>
          <w:rFonts w:hint="eastAsia" w:ascii="Times New Roman" w:hAnsi="Times New Roman"/>
          <w:b/>
          <w:lang w:eastAsia="zh-CN"/>
        </w:rPr>
        <w:t>主要内容：</w:t>
      </w:r>
    </w:p>
    <w:p w14:paraId="0056C49D">
      <w:pPr>
        <w:keepNext w:val="0"/>
        <w:keepLines w:val="0"/>
        <w:pageBreakBefore w:val="0"/>
        <w:tabs>
          <w:tab w:val="left" w:pos="4859"/>
        </w:tabs>
        <w:wordWrap/>
        <w:topLinePunct w:val="0"/>
        <w:bidi w:val="0"/>
        <w:adjustRightInd w:val="0"/>
        <w:snapToGrid w:val="0"/>
        <w:spacing w:line="400" w:lineRule="exact"/>
        <w:ind w:left="0" w:right="0" w:firstLine="420" w:firstLineChars="200"/>
        <w:rPr>
          <w:rFonts w:ascii="Times New Roman" w:hAnsi="Times New Roman"/>
          <w:szCs w:val="22"/>
        </w:rPr>
      </w:pPr>
      <w:r>
        <w:rPr>
          <w:rFonts w:hint="eastAsia" w:ascii="Times New Roman" w:hAnsi="Times New Roman"/>
          <w:szCs w:val="21"/>
        </w:rPr>
        <w:t>（1）了解信息技术的发展历史、掌握数制转换等内容；（2）</w:t>
      </w:r>
      <w:r>
        <w:rPr>
          <w:rFonts w:hint="eastAsia" w:ascii="Times New Roman" w:hAnsi="Times New Roman"/>
        </w:rPr>
        <w:t>Office应用：使学生熟练掌握word、Excel、PPT使用方法和实际应用；（3）</w:t>
      </w:r>
      <w:r>
        <w:rPr>
          <w:rFonts w:hint="eastAsia" w:ascii="Times New Roman" w:hAnsi="Times New Roman"/>
          <w:szCs w:val="21"/>
        </w:rPr>
        <w:t>了解人工智能的基本概念、发展历史，理解人工智能伦理问题；了解人工智能知识图谱、自然语言处理、智能语音、计算机视觉等关键技术；了解大模型的基本概念、分类和应用案例；了解新一代人工智能的生态和应用领域；</w:t>
      </w:r>
      <w:r>
        <w:rPr>
          <w:rFonts w:hint="eastAsia" w:ascii="Times New Roman" w:hAnsi="Times New Roman"/>
        </w:rPr>
        <w:t>（4）人工智能关键技术及其应用：使学生了解知识图谱的基本概念、构建方法和应用领域；理解机器学习的分类，常用机器学习算法，神经网络和深度学习；理解自然语言处理的基本概念、语言模型和应用案例；掌握智能语音的基本概念、语音识别技术、语音合成技术、语智能语音应用案例；理解计算机视觉的基本概念、核心方法和应用案例；（5）</w:t>
      </w:r>
      <w:r>
        <w:rPr>
          <w:rFonts w:hint="eastAsia" w:ascii="Times New Roman" w:hAnsi="Times New Roman"/>
          <w:szCs w:val="22"/>
        </w:rPr>
        <w:t>大模型及其应用：使学生了解大模型的定义和分类；理解大模型的工作原理；理解重要的大模型架构；掌握大模型的实践应用。了解提示词工程，会使用提示词完成的设计和优化。</w:t>
      </w:r>
    </w:p>
    <w:p w14:paraId="5D6AF2D5">
      <w:pPr>
        <w:keepNext w:val="0"/>
        <w:keepLines w:val="0"/>
        <w:pageBreakBefore w:val="0"/>
        <w:wordWrap/>
        <w:topLinePunct w:val="0"/>
        <w:bidi w:val="0"/>
        <w:spacing w:line="400" w:lineRule="exact"/>
        <w:ind w:left="0" w:right="0" w:firstLine="422" w:firstLineChars="200"/>
        <w:rPr>
          <w:rFonts w:ascii="Times New Roman" w:hAnsi="Times New Roman"/>
          <w:b/>
          <w:bCs/>
          <w:szCs w:val="22"/>
        </w:rPr>
      </w:pPr>
      <w:r>
        <w:rPr>
          <w:rFonts w:hint="eastAsia" w:ascii="Times New Roman" w:hAnsi="Times New Roman"/>
          <w:b/>
          <w:bCs/>
          <w:szCs w:val="22"/>
        </w:rPr>
        <w:t>教学要求：</w:t>
      </w:r>
    </w:p>
    <w:p w14:paraId="3E107D83">
      <w:pPr>
        <w:keepNext w:val="0"/>
        <w:keepLines w:val="0"/>
        <w:pageBreakBefore w:val="0"/>
        <w:tabs>
          <w:tab w:val="left" w:pos="4859"/>
        </w:tabs>
        <w:wordWrap/>
        <w:topLinePunct w:val="0"/>
        <w:bidi w:val="0"/>
        <w:adjustRightInd w:val="0"/>
        <w:snapToGrid w:val="0"/>
        <w:spacing w:line="400" w:lineRule="exact"/>
        <w:ind w:left="0" w:right="0"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（1）教师要求：熟悉人工智能发展史，熟练掌握常用的人工智能体，具备较强的office办公软件操作水平。</w:t>
      </w:r>
    </w:p>
    <w:p w14:paraId="5D41CCD4">
      <w:pPr>
        <w:keepNext w:val="0"/>
        <w:keepLines w:val="0"/>
        <w:pageBreakBefore w:val="0"/>
        <w:tabs>
          <w:tab w:val="left" w:pos="4859"/>
        </w:tabs>
        <w:wordWrap/>
        <w:topLinePunct w:val="0"/>
        <w:bidi w:val="0"/>
        <w:adjustRightInd w:val="0"/>
        <w:snapToGrid w:val="0"/>
        <w:spacing w:line="400" w:lineRule="exact"/>
        <w:ind w:left="0" w:right="0"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（2）教学条件：多媒体辅助课件,实践课在机房完成（包括理论教学及实践所需的所有需求，包含软硬件）</w:t>
      </w:r>
    </w:p>
    <w:p w14:paraId="76D819A7">
      <w:pPr>
        <w:keepNext w:val="0"/>
        <w:keepLines w:val="0"/>
        <w:pageBreakBefore w:val="0"/>
        <w:tabs>
          <w:tab w:val="left" w:pos="4859"/>
        </w:tabs>
        <w:wordWrap/>
        <w:topLinePunct w:val="0"/>
        <w:bidi w:val="0"/>
        <w:adjustRightInd w:val="0"/>
        <w:snapToGrid w:val="0"/>
        <w:spacing w:line="400" w:lineRule="exact"/>
        <w:ind w:left="0" w:right="0" w:firstLine="420" w:firstLineChars="200"/>
        <w:rPr>
          <w:rFonts w:hint="eastAsia" w:ascii="Times New Roman" w:hAnsi="Times New Roman" w:eastAsia="宋体" w:cs="Times New Roman"/>
          <w:szCs w:val="21"/>
        </w:rPr>
      </w:pPr>
      <w:r>
        <w:rPr>
          <w:rFonts w:hint="eastAsia" w:ascii="Times New Roman" w:hAnsi="Times New Roman" w:eastAsia="宋体" w:cs="Times New Roman"/>
          <w:szCs w:val="21"/>
        </w:rPr>
        <w:t>（3）教学方法：“理论讲授+演示操作+任务驱动+项目实践+案例研讨”相结合的方式，充分利用在线教学平台（如Moodle、超星、智慧树等）提供学习资源、布置作业、进行测验和讨论，鼓励小组合作完成综合性实践任务（如制作一份包含数据分析的交通调研报告PPT），培养团队协作能力；认真组织课堂讨论，围绕AI伦理、交通领域的数字化应用等话题进行交流。</w:t>
      </w:r>
    </w:p>
    <w:p w14:paraId="50FD0971">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420" w:firstLineChars="200"/>
        <w:textAlignment w:val="auto"/>
        <w:rPr>
          <w:rFonts w:hint="default" w:ascii="宋体" w:hAnsi="宋体" w:eastAsia="宋体" w:cs="宋体"/>
          <w:b w:val="0"/>
          <w:bCs/>
          <w:sz w:val="20"/>
          <w:szCs w:val="20"/>
          <w:lang w:eastAsia="zh-CN"/>
        </w:rPr>
      </w:pPr>
      <w:r>
        <w:rPr>
          <w:rFonts w:hint="eastAsia" w:ascii="宋体" w:hAnsi="宋体" w:cs="宋体"/>
          <w:bCs/>
          <w:szCs w:val="21"/>
        </w:rPr>
        <w:t>（4）考核评价：平时成绩40%+期末考核60%。其中平时成绩包括平时考勤与课堂参与（20%）、上机操作作业（Office为主）（40%）、AI工具应用实践报告/作品（40%）。</w:t>
      </w:r>
    </w:p>
    <w:p w14:paraId="3841713E">
      <w:pPr>
        <w:keepNext w:val="0"/>
        <w:keepLines w:val="0"/>
        <w:pageBreakBefore w:val="0"/>
        <w:wordWrap/>
        <w:topLinePunct w:val="0"/>
        <w:bidi w:val="0"/>
        <w:adjustRightInd w:val="0"/>
        <w:snapToGrid w:val="0"/>
        <w:spacing w:line="400" w:lineRule="exact"/>
        <w:ind w:left="0" w:right="0" w:firstLine="422" w:firstLineChars="200"/>
        <w:rPr>
          <w:rFonts w:ascii="Times New Roman" w:hAnsi="Times New Roman" w:cs="宋体"/>
          <w:b/>
          <w:szCs w:val="21"/>
        </w:rPr>
      </w:pPr>
      <w:r>
        <w:rPr>
          <w:rFonts w:hint="eastAsia" w:ascii="Times New Roman" w:hAnsi="Times New Roman" w:cs="宋体"/>
          <w:b/>
          <w:szCs w:val="21"/>
        </w:rPr>
        <w:t>1</w:t>
      </w:r>
      <w:r>
        <w:rPr>
          <w:rFonts w:hint="eastAsia" w:ascii="Times New Roman" w:hAnsi="Times New Roman" w:cs="宋体"/>
          <w:b/>
          <w:szCs w:val="21"/>
          <w:lang w:val="en-US" w:eastAsia="zh-CN"/>
        </w:rPr>
        <w:t>2</w:t>
      </w:r>
      <w:r>
        <w:rPr>
          <w:rFonts w:hint="eastAsia" w:ascii="Times New Roman" w:hAnsi="Times New Roman" w:cs="宋体"/>
          <w:b/>
          <w:szCs w:val="21"/>
        </w:rPr>
        <w:t>.大学生职业生涯规划</w:t>
      </w:r>
    </w:p>
    <w:p w14:paraId="36AC63A3">
      <w:pPr>
        <w:keepNext w:val="0"/>
        <w:keepLines w:val="0"/>
        <w:pageBreakBefore w:val="0"/>
        <w:wordWrap/>
        <w:topLinePunct w:val="0"/>
        <w:bidi w:val="0"/>
        <w:adjustRightInd w:val="0"/>
        <w:snapToGrid w:val="0"/>
        <w:spacing w:line="400" w:lineRule="exact"/>
        <w:ind w:left="0" w:right="0" w:firstLine="422" w:firstLineChars="200"/>
        <w:rPr>
          <w:rFonts w:ascii="宋体" w:hAnsi="宋体" w:cs="宋体"/>
          <w:b/>
          <w:szCs w:val="21"/>
        </w:rPr>
      </w:pPr>
      <w:r>
        <w:rPr>
          <w:rFonts w:hint="eastAsia" w:ascii="宋体" w:hAnsi="宋体" w:cs="宋体"/>
          <w:b/>
          <w:szCs w:val="21"/>
        </w:rPr>
        <w:t>课程目标：</w:t>
      </w:r>
      <w:bookmarkStart w:id="18" w:name="_Hlk68463921"/>
    </w:p>
    <w:bookmarkEnd w:id="18"/>
    <w:p w14:paraId="1F15C1E7">
      <w:pPr>
        <w:pStyle w:val="6"/>
        <w:keepNext w:val="0"/>
        <w:keepLines w:val="0"/>
        <w:pageBreakBefore w:val="0"/>
        <w:wordWrap/>
        <w:topLinePunct w:val="0"/>
        <w:bidi w:val="0"/>
        <w:spacing w:line="400" w:lineRule="exact"/>
        <w:ind w:left="0" w:right="0" w:firstLine="420"/>
        <w:rPr>
          <w:rFonts w:hint="eastAsia" w:ascii="宋体" w:hAnsi="宋体" w:eastAsia="宋体" w:cs="宋体"/>
          <w:spacing w:val="-4"/>
          <w:sz w:val="21"/>
          <w:szCs w:val="21"/>
        </w:rPr>
      </w:pPr>
      <w:r>
        <w:rPr>
          <w:rFonts w:hint="eastAsia" w:ascii="宋体" w:hAnsi="宋体" w:eastAsia="宋体" w:cs="宋体"/>
          <w:spacing w:val="-4"/>
          <w:sz w:val="21"/>
          <w:szCs w:val="21"/>
        </w:rPr>
        <w:t>（1）知识目标：了解职业发展的特点，较为清晰地认识自己的特性、职业的特性以及社会环境，交通强国战略背景下职业环境的变化趋势等；了解人生发展与职业生涯规划的重要关系；熟悉职业生涯规划的相关理论；掌握大学生职业生涯规划的步骤。</w:t>
      </w:r>
    </w:p>
    <w:p w14:paraId="5B8E970A">
      <w:pPr>
        <w:pStyle w:val="6"/>
        <w:keepNext w:val="0"/>
        <w:keepLines w:val="0"/>
        <w:pageBreakBefore w:val="0"/>
        <w:wordWrap/>
        <w:topLinePunct w:val="0"/>
        <w:bidi w:val="0"/>
        <w:spacing w:line="400" w:lineRule="exact"/>
        <w:ind w:left="0" w:right="0" w:firstLine="420"/>
        <w:rPr>
          <w:rFonts w:hint="eastAsia" w:ascii="宋体" w:hAnsi="宋体" w:eastAsia="宋体" w:cs="宋体"/>
          <w:spacing w:val="-4"/>
          <w:sz w:val="21"/>
          <w:szCs w:val="21"/>
        </w:rPr>
      </w:pPr>
      <w:r>
        <w:rPr>
          <w:rFonts w:hint="eastAsia" w:ascii="宋体" w:hAnsi="宋体" w:eastAsia="宋体" w:cs="宋体"/>
          <w:spacing w:val="-4"/>
          <w:sz w:val="21"/>
          <w:szCs w:val="21"/>
        </w:rPr>
        <w:t>（2）能力目标：掌握基于交通等行业特质的自我探索技能、信息搜索与管理技能、生涯决策技能等，掌握团队协作中的沟通技能，提升解决复杂问题的能力，具备交通类院校毕业生特有的职业竞争力。</w:t>
      </w:r>
    </w:p>
    <w:p w14:paraId="45159E39">
      <w:pPr>
        <w:pStyle w:val="6"/>
        <w:keepNext w:val="0"/>
        <w:keepLines w:val="0"/>
        <w:pageBreakBefore w:val="0"/>
        <w:wordWrap/>
        <w:topLinePunct w:val="0"/>
        <w:bidi w:val="0"/>
        <w:spacing w:line="400" w:lineRule="exact"/>
        <w:ind w:left="0" w:right="0" w:firstLine="420"/>
        <w:rPr>
          <w:rFonts w:hint="eastAsia"/>
          <w:spacing w:val="-4"/>
          <w:sz w:val="21"/>
          <w:szCs w:val="21"/>
        </w:rPr>
      </w:pPr>
      <w:r>
        <w:rPr>
          <w:rFonts w:hint="eastAsia" w:ascii="宋体" w:hAnsi="宋体" w:eastAsia="宋体" w:cs="宋体"/>
          <w:spacing w:val="-4"/>
          <w:sz w:val="21"/>
          <w:szCs w:val="21"/>
        </w:rPr>
        <w:t>（3）素质目标：树立职业生涯发展的自主意识，树立积极正确的人生观、价值观、世界观和就业观，把个人发展与国家需要、社会发展相结合，确立职业概念和意识，为个人生涯发展和社会发展积极努力</w:t>
      </w:r>
      <w:r>
        <w:rPr>
          <w:rFonts w:hint="eastAsia"/>
          <w:spacing w:val="-4"/>
          <w:sz w:val="21"/>
          <w:szCs w:val="21"/>
        </w:rPr>
        <w:t>。</w:t>
      </w:r>
    </w:p>
    <w:p w14:paraId="6B8A1445">
      <w:pPr>
        <w:keepNext w:val="0"/>
        <w:keepLines w:val="0"/>
        <w:pageBreakBefore w:val="0"/>
        <w:wordWrap/>
        <w:topLinePunct w:val="0"/>
        <w:bidi w:val="0"/>
        <w:adjustRightInd w:val="0"/>
        <w:snapToGrid w:val="0"/>
        <w:spacing w:line="400" w:lineRule="exact"/>
        <w:ind w:left="0" w:right="0" w:firstLine="422" w:firstLineChars="200"/>
        <w:rPr>
          <w:rFonts w:hint="eastAsia" w:ascii="宋体" w:hAnsi="宋体" w:cs="宋体"/>
          <w:b/>
          <w:szCs w:val="21"/>
        </w:rPr>
      </w:pPr>
      <w:r>
        <w:rPr>
          <w:rFonts w:hint="eastAsia" w:ascii="宋体" w:hAnsi="宋体" w:cs="宋体"/>
          <w:b/>
          <w:szCs w:val="21"/>
        </w:rPr>
        <w:t>主要内容：</w:t>
      </w:r>
    </w:p>
    <w:p w14:paraId="14465563">
      <w:pPr>
        <w:keepNext w:val="0"/>
        <w:keepLines w:val="0"/>
        <w:pageBreakBefore w:val="0"/>
        <w:wordWrap/>
        <w:topLinePunct w:val="0"/>
        <w:bidi w:val="0"/>
        <w:spacing w:line="400" w:lineRule="exact"/>
        <w:ind w:left="0" w:right="0" w:firstLine="404" w:firstLineChars="200"/>
        <w:rPr>
          <w:rFonts w:hint="eastAsia" w:ascii="宋体" w:hAnsi="宋体" w:eastAsia="宋体" w:cs="宋体"/>
          <w:spacing w:val="-4"/>
          <w:kern w:val="2"/>
          <w:sz w:val="21"/>
          <w:szCs w:val="24"/>
          <w:lang w:val="en-US" w:eastAsia="zh-CN" w:bidi="ar-SA"/>
        </w:rPr>
      </w:pPr>
      <w:r>
        <w:rPr>
          <w:rFonts w:hint="eastAsia" w:ascii="宋体" w:hAnsi="宋体" w:eastAsia="宋体" w:cs="宋体"/>
          <w:spacing w:val="-4"/>
          <w:kern w:val="2"/>
          <w:sz w:val="21"/>
          <w:szCs w:val="24"/>
          <w:lang w:val="en-US" w:eastAsia="zh-CN" w:bidi="ar-SA"/>
        </w:rPr>
        <w:t>（1）认识职业生涯规划；（2）自我认知；（3）职业认知；（4）生涯决策；（5）提升职业素养。</w:t>
      </w:r>
    </w:p>
    <w:p w14:paraId="09D35AEC">
      <w:pPr>
        <w:keepNext w:val="0"/>
        <w:keepLines w:val="0"/>
        <w:pageBreakBefore w:val="0"/>
        <w:wordWrap/>
        <w:topLinePunct w:val="0"/>
        <w:bidi w:val="0"/>
        <w:adjustRightInd w:val="0"/>
        <w:snapToGrid w:val="0"/>
        <w:spacing w:line="400" w:lineRule="exact"/>
        <w:ind w:left="0" w:right="0" w:firstLine="422" w:firstLineChars="200"/>
        <w:rPr>
          <w:rFonts w:ascii="宋体" w:hAnsi="宋体" w:cs="宋体"/>
          <w:b/>
          <w:szCs w:val="21"/>
        </w:rPr>
      </w:pPr>
      <w:r>
        <w:rPr>
          <w:rFonts w:hint="eastAsia" w:ascii="宋体" w:hAnsi="宋体" w:cs="宋体"/>
          <w:b/>
          <w:szCs w:val="21"/>
        </w:rPr>
        <w:t>教学要求：</w:t>
      </w:r>
    </w:p>
    <w:p w14:paraId="50DB0D9C">
      <w:pPr>
        <w:keepNext w:val="0"/>
        <w:keepLines w:val="0"/>
        <w:pageBreakBefore w:val="0"/>
        <w:wordWrap/>
        <w:topLinePunct w:val="0"/>
        <w:bidi w:val="0"/>
        <w:adjustRightInd w:val="0"/>
        <w:snapToGrid w:val="0"/>
        <w:spacing w:line="400" w:lineRule="exact"/>
        <w:ind w:left="0" w:right="0" w:firstLine="420" w:firstLineChars="200"/>
        <w:rPr>
          <w:rFonts w:ascii="宋体" w:hAnsi="宋体" w:cs="宋体"/>
          <w:bCs/>
          <w:szCs w:val="21"/>
        </w:rPr>
      </w:pPr>
      <w:r>
        <w:rPr>
          <w:rFonts w:hint="eastAsia" w:ascii="宋体" w:hAnsi="宋体" w:cs="宋体"/>
          <w:bCs/>
          <w:szCs w:val="21"/>
        </w:rPr>
        <w:t>（1）教师要求：</w:t>
      </w:r>
      <w:r>
        <w:rPr>
          <w:rFonts w:ascii="宋体" w:hAnsi="宋体" w:cs="宋体"/>
          <w:bCs/>
          <w:szCs w:val="21"/>
        </w:rPr>
        <w:t>熟悉行业职业发展特征及人才需求趋势，具备职业生涯规划理论</w:t>
      </w:r>
      <w:r>
        <w:rPr>
          <w:rFonts w:hint="eastAsia" w:ascii="宋体" w:hAnsi="宋体" w:cs="宋体"/>
          <w:bCs/>
          <w:szCs w:val="21"/>
        </w:rPr>
        <w:t>知识</w:t>
      </w:r>
      <w:r>
        <w:rPr>
          <w:rFonts w:ascii="宋体" w:hAnsi="宋体" w:cs="宋体"/>
          <w:bCs/>
          <w:szCs w:val="21"/>
        </w:rPr>
        <w:t>和交通</w:t>
      </w:r>
      <w:r>
        <w:rPr>
          <w:rFonts w:hint="eastAsia" w:ascii="宋体" w:hAnsi="宋体" w:cs="宋体"/>
          <w:bCs/>
          <w:szCs w:val="21"/>
        </w:rPr>
        <w:t>行业</w:t>
      </w:r>
      <w:r>
        <w:rPr>
          <w:rFonts w:ascii="宋体" w:hAnsi="宋体" w:cs="宋体"/>
          <w:bCs/>
          <w:szCs w:val="21"/>
        </w:rPr>
        <w:t>职业咨询能力；掌握职业测评工具使用技能，能结合</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等专业特点开展个性化</w:t>
      </w:r>
      <w:r>
        <w:rPr>
          <w:rFonts w:hint="eastAsia" w:ascii="宋体" w:hAnsi="宋体" w:cs="宋体"/>
          <w:bCs/>
          <w:szCs w:val="21"/>
        </w:rPr>
        <w:t>生涯规划</w:t>
      </w:r>
      <w:r>
        <w:rPr>
          <w:rFonts w:ascii="宋体" w:hAnsi="宋体" w:cs="宋体"/>
          <w:bCs/>
          <w:szCs w:val="21"/>
        </w:rPr>
        <w:t>指导。</w:t>
      </w:r>
    </w:p>
    <w:p w14:paraId="443158FE">
      <w:pPr>
        <w:keepNext w:val="0"/>
        <w:keepLines w:val="0"/>
        <w:pageBreakBefore w:val="0"/>
        <w:wordWrap/>
        <w:topLinePunct w:val="0"/>
        <w:bidi w:val="0"/>
        <w:adjustRightInd w:val="0"/>
        <w:snapToGrid w:val="0"/>
        <w:spacing w:line="400" w:lineRule="exact"/>
        <w:ind w:left="0" w:right="0" w:firstLine="420" w:firstLineChars="200"/>
        <w:rPr>
          <w:rFonts w:ascii="宋体" w:hAnsi="宋体" w:cs="宋体"/>
          <w:bCs/>
          <w:szCs w:val="21"/>
        </w:rPr>
      </w:pPr>
      <w:r>
        <w:rPr>
          <w:rFonts w:hint="eastAsia" w:ascii="宋体" w:hAnsi="宋体" w:cs="宋体"/>
          <w:bCs/>
          <w:szCs w:val="21"/>
        </w:rPr>
        <w:t>（2）教学条件：多媒体辅助课件,线上教学平台，职业生涯与发展规划工具包等教具，实践课在多媒体教室、生涯咨询室、创业园区、校内外实践教学基地等多</w:t>
      </w:r>
      <w:r>
        <w:rPr>
          <w:rFonts w:ascii="宋体" w:hAnsi="宋体" w:cs="宋体"/>
          <w:bCs/>
          <w:szCs w:val="21"/>
        </w:rPr>
        <w:t>平台</w:t>
      </w:r>
      <w:r>
        <w:rPr>
          <w:rFonts w:hint="eastAsia" w:ascii="宋体" w:hAnsi="宋体" w:cs="宋体"/>
          <w:bCs/>
          <w:szCs w:val="21"/>
        </w:rPr>
        <w:t>进行，利用社会资源、外聘专家、成功校友、职场人物开展专题讲座、座谈等。</w:t>
      </w:r>
    </w:p>
    <w:p w14:paraId="5D5F43DB">
      <w:pPr>
        <w:keepNext w:val="0"/>
        <w:keepLines w:val="0"/>
        <w:pageBreakBefore w:val="0"/>
        <w:wordWrap/>
        <w:topLinePunct w:val="0"/>
        <w:bidi w:val="0"/>
        <w:adjustRightInd w:val="0"/>
        <w:snapToGrid w:val="0"/>
        <w:spacing w:line="400" w:lineRule="exact"/>
        <w:ind w:left="0" w:right="0" w:firstLine="420"/>
        <w:rPr>
          <w:rFonts w:ascii="宋体" w:hAnsi="宋体" w:cs="宋体"/>
          <w:bCs/>
          <w:szCs w:val="21"/>
        </w:rPr>
      </w:pPr>
      <w:r>
        <w:rPr>
          <w:rFonts w:hint="eastAsia" w:ascii="宋体" w:hAnsi="宋体" w:cs="宋体"/>
          <w:bCs/>
          <w:szCs w:val="21"/>
        </w:rPr>
        <w:t>（3）教学方法：本课程采用理论与实践相结合、讲授与训练相结合的方式进行。教学可采用课堂讲授、</w:t>
      </w:r>
      <w:r>
        <w:rPr>
          <w:spacing w:val="-4"/>
        </w:rPr>
        <w:t>交通</w:t>
      </w:r>
      <w:r>
        <w:rPr>
          <w:rFonts w:hint="eastAsia"/>
          <w:spacing w:val="-4"/>
        </w:rPr>
        <w:t>领域</w:t>
      </w:r>
      <w:r>
        <w:rPr>
          <w:rFonts w:hint="eastAsia" w:ascii="宋体" w:hAnsi="宋体" w:cs="宋体"/>
          <w:bCs/>
          <w:szCs w:val="21"/>
        </w:rPr>
        <w:t>典型案例分析、</w:t>
      </w:r>
      <w:r>
        <w:rPr>
          <w:spacing w:val="-4"/>
        </w:rPr>
        <w:t>轨道交通</w:t>
      </w:r>
      <w:r>
        <w:rPr>
          <w:rFonts w:hint="eastAsia"/>
          <w:spacing w:val="-4"/>
        </w:rPr>
        <w:t>运营管理等</w:t>
      </w:r>
      <w:r>
        <w:rPr>
          <w:rFonts w:hint="eastAsia" w:ascii="宋体" w:hAnsi="宋体" w:cs="宋体"/>
          <w:bCs/>
          <w:szCs w:val="21"/>
        </w:rPr>
        <w:t>情景模拟训练、小组讨论、社会调查、实习见习等方法。</w:t>
      </w:r>
    </w:p>
    <w:p w14:paraId="45A5B1D1">
      <w:pPr>
        <w:keepNext w:val="0"/>
        <w:keepLines w:val="0"/>
        <w:pageBreakBefore w:val="0"/>
        <w:wordWrap/>
        <w:topLinePunct w:val="0"/>
        <w:bidi w:val="0"/>
        <w:adjustRightInd w:val="0"/>
        <w:snapToGrid w:val="0"/>
        <w:spacing w:line="400" w:lineRule="exact"/>
        <w:ind w:left="0" w:right="0" w:firstLine="420" w:firstLineChars="200"/>
        <w:rPr>
          <w:rFonts w:hint="eastAsia" w:ascii="Times New Roman" w:hAnsi="Times New Roman" w:cs="宋体"/>
          <w:b/>
          <w:szCs w:val="21"/>
        </w:rPr>
      </w:pPr>
      <w:r>
        <w:rPr>
          <w:rFonts w:hint="eastAsia" w:ascii="宋体" w:hAnsi="宋体" w:cs="宋体"/>
          <w:bCs/>
          <w:szCs w:val="21"/>
        </w:rPr>
        <w:t>（4）考核评价：过程考核占40%+综合考核占60%。</w:t>
      </w:r>
    </w:p>
    <w:p w14:paraId="14B7066F">
      <w:pPr>
        <w:keepNext w:val="0"/>
        <w:keepLines w:val="0"/>
        <w:pageBreakBefore w:val="0"/>
        <w:wordWrap/>
        <w:topLinePunct w:val="0"/>
        <w:bidi w:val="0"/>
        <w:adjustRightInd w:val="0"/>
        <w:snapToGrid w:val="0"/>
        <w:spacing w:line="400" w:lineRule="exact"/>
        <w:ind w:left="0" w:right="0" w:firstLine="422" w:firstLineChars="200"/>
        <w:rPr>
          <w:rFonts w:hint="eastAsia" w:ascii="Times New Roman" w:hAnsi="Times New Roman" w:eastAsia="宋体" w:cs="宋体"/>
          <w:b/>
          <w:szCs w:val="21"/>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3</w:t>
      </w:r>
      <w:r>
        <w:rPr>
          <w:rFonts w:hint="eastAsia" w:ascii="Times New Roman" w:hAnsi="Times New Roman" w:eastAsia="宋体" w:cs="宋体"/>
          <w:b/>
          <w:szCs w:val="21"/>
        </w:rPr>
        <w:t>.创业基础</w:t>
      </w:r>
    </w:p>
    <w:p w14:paraId="23B69D22">
      <w:pPr>
        <w:pStyle w:val="22"/>
        <w:keepNext w:val="0"/>
        <w:keepLines w:val="0"/>
        <w:pageBreakBefore w:val="0"/>
        <w:wordWrap/>
        <w:topLinePunct w:val="0"/>
        <w:bidi w:val="0"/>
        <w:spacing w:line="400" w:lineRule="exact"/>
        <w:ind w:left="0" w:right="0" w:firstLine="422" w:firstLineChars="200"/>
        <w:rPr>
          <w:rFonts w:hint="eastAsia"/>
          <w:b/>
          <w:lang w:eastAsia="zh-CN"/>
        </w:rPr>
      </w:pPr>
      <w:r>
        <w:rPr>
          <w:rFonts w:hint="eastAsia"/>
          <w:b/>
          <w:lang w:eastAsia="zh-CN"/>
        </w:rPr>
        <w:t>课程目标：</w:t>
      </w:r>
    </w:p>
    <w:p w14:paraId="4F1E822C">
      <w:pPr>
        <w:pStyle w:val="22"/>
        <w:keepNext w:val="0"/>
        <w:keepLines w:val="0"/>
        <w:pageBreakBefore w:val="0"/>
        <w:wordWrap/>
        <w:topLinePunct w:val="0"/>
        <w:bidi w:val="0"/>
        <w:spacing w:line="400" w:lineRule="exact"/>
        <w:ind w:left="0" w:right="0" w:firstLine="420" w:firstLineChars="200"/>
        <w:rPr>
          <w:rFonts w:hint="eastAsia"/>
          <w:bCs/>
          <w:lang w:eastAsia="zh-CN"/>
        </w:rPr>
      </w:pPr>
      <w:r>
        <w:rPr>
          <w:rFonts w:hint="eastAsia"/>
          <w:bCs/>
          <w:lang w:eastAsia="zh-CN"/>
        </w:rPr>
        <w:t>（</w:t>
      </w:r>
      <w:r>
        <w:rPr>
          <w:bCs/>
          <w:lang w:eastAsia="zh-CN"/>
        </w:rPr>
        <w:t>1</w:t>
      </w:r>
      <w:r>
        <w:rPr>
          <w:rFonts w:hint="eastAsia"/>
          <w:bCs/>
          <w:lang w:eastAsia="zh-CN"/>
        </w:rPr>
        <w:t>）知识目标：了解创新创业的基本概念、流程和方法，掌握机会识别、商业模式设计、团队管理、融资策略等创新创业核心知识。</w:t>
      </w:r>
    </w:p>
    <w:p w14:paraId="210FB35F">
      <w:pPr>
        <w:keepNext w:val="0"/>
        <w:keepLines w:val="0"/>
        <w:pageBreakBefore w:val="0"/>
        <w:wordWrap/>
        <w:topLinePunct w:val="0"/>
        <w:bidi w:val="0"/>
        <w:spacing w:line="400" w:lineRule="exact"/>
        <w:ind w:left="0" w:right="0" w:firstLine="420" w:firstLineChars="200"/>
        <w:rPr>
          <w:rFonts w:hint="eastAsia" w:ascii="宋体" w:hAnsi="宋体"/>
        </w:rPr>
      </w:pPr>
      <w:r>
        <w:rPr>
          <w:rFonts w:hint="eastAsia" w:ascii="宋体" w:hAnsi="宋体"/>
          <w:bCs/>
        </w:rPr>
        <w:t>（2）</w:t>
      </w:r>
      <w:r>
        <w:rPr>
          <w:rFonts w:hint="eastAsia"/>
          <w:bCs/>
        </w:rPr>
        <w:t>能力目标：掌握创新方法、机会识别、资源整合和风险应对能力，制定创业计划并进行可行性分析，</w:t>
      </w:r>
      <w:r>
        <w:rPr>
          <w:rFonts w:hint="eastAsia" w:ascii="宋体" w:hAnsi="宋体"/>
        </w:rPr>
        <w:t>熟悉新企业的开办流程与管理，提高创办和管理企业的综合素质与能力。</w:t>
      </w:r>
    </w:p>
    <w:p w14:paraId="48FE9F38">
      <w:pPr>
        <w:pStyle w:val="22"/>
        <w:keepNext w:val="0"/>
        <w:keepLines w:val="0"/>
        <w:pageBreakBefore w:val="0"/>
        <w:wordWrap/>
        <w:topLinePunct w:val="0"/>
        <w:bidi w:val="0"/>
        <w:spacing w:line="400" w:lineRule="exact"/>
        <w:ind w:left="0" w:right="0" w:firstLine="420" w:firstLineChars="200"/>
        <w:rPr>
          <w:rFonts w:hint="eastAsia"/>
          <w:bCs/>
          <w:lang w:eastAsia="zh-CN"/>
        </w:rPr>
      </w:pPr>
      <w:r>
        <w:rPr>
          <w:rFonts w:hint="eastAsia"/>
          <w:bCs/>
          <w:lang w:eastAsia="zh-CN"/>
        </w:rPr>
        <w:t>（3）素质目标：增强学生的社会责任感和团队协作精神，树立正确的创业价值观，培养吃苦耐劳、诚信守法的职业素养。将个人创业梦想与“工匠精神”“交通强国”等国家发展战略相结合，培养服务社会、奉献交通的使命担当，在创业过程中践行社会主义核心价值观。</w:t>
      </w:r>
    </w:p>
    <w:p w14:paraId="03D900CE">
      <w:pPr>
        <w:keepNext w:val="0"/>
        <w:keepLines w:val="0"/>
        <w:pageBreakBefore w:val="0"/>
        <w:wordWrap/>
        <w:topLinePunct w:val="0"/>
        <w:bidi w:val="0"/>
        <w:adjustRightInd w:val="0"/>
        <w:snapToGrid w:val="0"/>
        <w:spacing w:line="400" w:lineRule="exact"/>
        <w:ind w:left="0" w:right="0" w:firstLine="421"/>
        <w:rPr>
          <w:rFonts w:hint="eastAsia" w:ascii="宋体" w:hAnsi="宋体" w:cs="宋体"/>
          <w:b/>
          <w:szCs w:val="21"/>
        </w:rPr>
      </w:pPr>
      <w:r>
        <w:rPr>
          <w:rFonts w:hint="eastAsia" w:ascii="宋体" w:hAnsi="宋体" w:cs="宋体"/>
          <w:b/>
          <w:szCs w:val="21"/>
        </w:rPr>
        <w:t>主要内容：</w:t>
      </w:r>
    </w:p>
    <w:p w14:paraId="6C9B7394">
      <w:pPr>
        <w:pStyle w:val="22"/>
        <w:keepNext w:val="0"/>
        <w:keepLines w:val="0"/>
        <w:pageBreakBefore w:val="0"/>
        <w:wordWrap/>
        <w:topLinePunct w:val="0"/>
        <w:bidi w:val="0"/>
        <w:spacing w:line="400" w:lineRule="exact"/>
        <w:ind w:left="0" w:right="0" w:firstLine="210" w:firstLineChars="100"/>
        <w:rPr>
          <w:rFonts w:hint="eastAsia"/>
          <w:bCs/>
          <w:lang w:eastAsia="zh-CN"/>
        </w:rPr>
      </w:pPr>
      <w:r>
        <w:rPr>
          <w:rFonts w:hint="eastAsia"/>
          <w:bCs/>
          <w:lang w:eastAsia="zh-CN"/>
        </w:rPr>
        <w:t>（1）创新与创业精神；（2）创新思维与机会识别；（3）风险管理；（4）团队组建与领导力；（5）商业模式设计；（6）创业计划与路演技巧；（7）新企业的开办。</w:t>
      </w:r>
    </w:p>
    <w:p w14:paraId="413AE75C">
      <w:pPr>
        <w:keepNext w:val="0"/>
        <w:keepLines w:val="0"/>
        <w:pageBreakBefore w:val="0"/>
        <w:wordWrap/>
        <w:topLinePunct w:val="0"/>
        <w:bidi w:val="0"/>
        <w:adjustRightInd w:val="0"/>
        <w:snapToGrid w:val="0"/>
        <w:spacing w:line="400" w:lineRule="exact"/>
        <w:ind w:left="0" w:right="0" w:firstLine="421"/>
        <w:rPr>
          <w:rFonts w:hint="eastAsia" w:ascii="宋体" w:hAnsi="宋体" w:cs="宋体"/>
          <w:b/>
          <w:szCs w:val="21"/>
        </w:rPr>
      </w:pPr>
      <w:r>
        <w:rPr>
          <w:rFonts w:hint="eastAsia" w:ascii="宋体" w:hAnsi="宋体" w:cs="宋体"/>
          <w:b/>
          <w:szCs w:val="21"/>
        </w:rPr>
        <w:t>教学要求：</w:t>
      </w:r>
    </w:p>
    <w:p w14:paraId="11DD7C97">
      <w:pPr>
        <w:keepNext w:val="0"/>
        <w:keepLines w:val="0"/>
        <w:pageBreakBefore w:val="0"/>
        <w:numPr>
          <w:ilvl w:val="0"/>
          <w:numId w:val="4"/>
        </w:numPr>
        <w:wordWrap/>
        <w:topLinePunct w:val="0"/>
        <w:bidi w:val="0"/>
        <w:adjustRightInd w:val="0"/>
        <w:snapToGrid w:val="0"/>
        <w:spacing w:line="400" w:lineRule="exact"/>
        <w:ind w:left="0" w:right="0" w:firstLine="420"/>
        <w:rPr>
          <w:rFonts w:hint="eastAsia" w:ascii="宋体" w:hAnsi="宋体" w:cs="宋体"/>
          <w:bCs/>
          <w:szCs w:val="21"/>
        </w:rPr>
      </w:pPr>
      <w:r>
        <w:rPr>
          <w:rFonts w:hint="eastAsia" w:ascii="宋体" w:hAnsi="宋体" w:cs="宋体"/>
          <w:bCs/>
          <w:szCs w:val="21"/>
        </w:rPr>
        <w:t>教师要求：具备扎实的创新创业理论知识和丰富的实践经验，能够结合学科前沿动态更新教学内容。同时，教师应具备较强的课堂组织能力，灵活运用多元化教学方法，激发学生的创新思维和创业热情。在能力素养方面，教师应保持开放的学习态度，积极关注创新创业领域的新趋势，并善于利用信息化教学工具提升课堂效果，指导学生完成创业计划并解决实际问题。</w:t>
      </w:r>
    </w:p>
    <w:p w14:paraId="2A1129BA">
      <w:pPr>
        <w:keepNext w:val="0"/>
        <w:keepLines w:val="0"/>
        <w:pageBreakBefore w:val="0"/>
        <w:wordWrap/>
        <w:topLinePunct w:val="0"/>
        <w:bidi w:val="0"/>
        <w:adjustRightInd w:val="0"/>
        <w:snapToGrid w:val="0"/>
        <w:spacing w:line="400" w:lineRule="exact"/>
        <w:ind w:left="0" w:right="0" w:firstLine="420"/>
        <w:rPr>
          <w:rFonts w:ascii="宋体" w:hAnsi="宋体" w:cs="宋体"/>
          <w:bCs/>
          <w:szCs w:val="21"/>
        </w:rPr>
      </w:pPr>
      <w:r>
        <w:rPr>
          <w:rFonts w:hint="eastAsia" w:ascii="宋体" w:hAnsi="宋体" w:cs="宋体"/>
          <w:bCs/>
          <w:szCs w:val="21"/>
        </w:rPr>
        <w:t>（2）教学条件：多媒体辅助课件，线上教学平台等，实践课在路演教室、创业园区、校内外实践教学基地等多</w:t>
      </w:r>
      <w:r>
        <w:rPr>
          <w:rFonts w:ascii="宋体" w:hAnsi="宋体" w:cs="宋体"/>
          <w:bCs/>
          <w:szCs w:val="21"/>
        </w:rPr>
        <w:t>平台</w:t>
      </w:r>
      <w:r>
        <w:rPr>
          <w:rFonts w:hint="eastAsia" w:ascii="宋体" w:hAnsi="宋体" w:cs="宋体"/>
          <w:bCs/>
          <w:szCs w:val="21"/>
        </w:rPr>
        <w:t>进行，利用社会资源、创业导师、成功校友、职场人物开展创业讲座、座谈等。</w:t>
      </w:r>
    </w:p>
    <w:p w14:paraId="54AE8AB8">
      <w:pPr>
        <w:keepNext w:val="0"/>
        <w:keepLines w:val="0"/>
        <w:pageBreakBefore w:val="0"/>
        <w:wordWrap/>
        <w:topLinePunct w:val="0"/>
        <w:bidi w:val="0"/>
        <w:adjustRightInd w:val="0"/>
        <w:snapToGrid w:val="0"/>
        <w:spacing w:line="400" w:lineRule="exact"/>
        <w:ind w:left="0" w:right="0" w:firstLine="420"/>
        <w:rPr>
          <w:rFonts w:ascii="宋体" w:hAnsi="宋体" w:cs="宋体"/>
          <w:bCs/>
          <w:szCs w:val="21"/>
        </w:rPr>
      </w:pPr>
      <w:r>
        <w:rPr>
          <w:rFonts w:hint="eastAsia" w:ascii="宋体" w:hAnsi="宋体" w:cs="宋体"/>
          <w:bCs/>
          <w:szCs w:val="21"/>
        </w:rPr>
        <w:t>（3）教学方法：本课程采用理论与实践相结合、讲授与训练相结合的方式进行。采用现场教学法、分组讨论法、案例教学法、情景模拟法和任务驱动法等。</w:t>
      </w:r>
    </w:p>
    <w:p w14:paraId="214FB902">
      <w:pPr>
        <w:keepNext w:val="0"/>
        <w:keepLines w:val="0"/>
        <w:pageBreakBefore w:val="0"/>
        <w:wordWrap/>
        <w:topLinePunct w:val="0"/>
        <w:bidi w:val="0"/>
        <w:adjustRightInd w:val="0"/>
        <w:snapToGrid w:val="0"/>
        <w:spacing w:line="400" w:lineRule="exact"/>
        <w:ind w:left="0" w:right="0" w:firstLine="420" w:firstLineChars="200"/>
        <w:rPr>
          <w:rFonts w:hint="eastAsia" w:ascii="Times New Roman" w:hAnsi="Times New Roman" w:eastAsia="宋体" w:cs="宋体"/>
          <w:b/>
          <w:szCs w:val="21"/>
        </w:rPr>
      </w:pPr>
      <w:r>
        <w:rPr>
          <w:rFonts w:hint="eastAsia" w:ascii="宋体" w:hAnsi="宋体" w:cs="宋体"/>
          <w:bCs/>
          <w:szCs w:val="21"/>
        </w:rPr>
        <w:t>（4）考核评价：过程考核占40%+综合考核占60%。</w:t>
      </w:r>
    </w:p>
    <w:p w14:paraId="6E406C73">
      <w:pPr>
        <w:keepNext w:val="0"/>
        <w:keepLines w:val="0"/>
        <w:pageBreakBefore w:val="0"/>
        <w:wordWrap/>
        <w:topLinePunct w:val="0"/>
        <w:bidi w:val="0"/>
        <w:adjustRightInd w:val="0"/>
        <w:snapToGrid w:val="0"/>
        <w:spacing w:line="400" w:lineRule="exact"/>
        <w:ind w:left="0" w:right="0"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4</w:t>
      </w:r>
      <w:r>
        <w:rPr>
          <w:rFonts w:hint="eastAsia" w:ascii="Times New Roman" w:hAnsi="Times New Roman" w:eastAsia="宋体" w:cs="宋体"/>
          <w:b/>
          <w:szCs w:val="21"/>
        </w:rPr>
        <w:t>.</w:t>
      </w:r>
      <w:r>
        <w:rPr>
          <w:rFonts w:hint="eastAsia" w:ascii="Times New Roman" w:hAnsi="Times New Roman" w:eastAsia="宋体" w:cs="宋体"/>
          <w:b/>
          <w:szCs w:val="21"/>
          <w:lang w:val="en-US" w:eastAsia="zh-CN"/>
        </w:rPr>
        <w:t>就业指导</w:t>
      </w:r>
    </w:p>
    <w:p w14:paraId="2D6ED673">
      <w:pPr>
        <w:keepNext w:val="0"/>
        <w:keepLines w:val="0"/>
        <w:pageBreakBefore w:val="0"/>
        <w:wordWrap/>
        <w:topLinePunct w:val="0"/>
        <w:bidi w:val="0"/>
        <w:adjustRightInd w:val="0"/>
        <w:snapToGrid w:val="0"/>
        <w:spacing w:line="400" w:lineRule="exact"/>
        <w:ind w:left="0" w:right="0" w:firstLine="422" w:firstLineChars="200"/>
        <w:rPr>
          <w:rFonts w:hint="eastAsia" w:ascii="宋体" w:hAnsi="宋体" w:cs="宋体"/>
          <w:b/>
          <w:bCs/>
          <w:szCs w:val="21"/>
        </w:rPr>
      </w:pPr>
      <w:r>
        <w:rPr>
          <w:rFonts w:hint="eastAsia" w:ascii="宋体" w:hAnsi="宋体" w:cs="宋体"/>
          <w:b/>
          <w:bCs/>
          <w:szCs w:val="21"/>
        </w:rPr>
        <w:t>课程目标：</w:t>
      </w:r>
    </w:p>
    <w:p w14:paraId="3765020C">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cs="宋体"/>
          <w:szCs w:val="21"/>
        </w:rPr>
      </w:pPr>
      <w:r>
        <w:rPr>
          <w:rFonts w:hint="eastAsia" w:ascii="宋体" w:hAnsi="宋体" w:cs="宋体"/>
          <w:bCs/>
          <w:szCs w:val="21"/>
        </w:rPr>
        <w:t>（1）</w:t>
      </w:r>
      <w:r>
        <w:rPr>
          <w:rFonts w:hint="eastAsia" w:ascii="宋体" w:hAnsi="宋体" w:cs="宋体"/>
          <w:szCs w:val="21"/>
        </w:rPr>
        <w:t>知识目标：了解国家稳就业政策核心内容，理解产业结构升级对人才需求的变化趋势，掌握就业材料的收集与整理、面试技巧等。</w:t>
      </w:r>
    </w:p>
    <w:p w14:paraId="087CCCA2">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cs="宋体"/>
          <w:szCs w:val="21"/>
        </w:rPr>
      </w:pPr>
      <w:r>
        <w:rPr>
          <w:rFonts w:hint="eastAsia" w:ascii="宋体" w:hAnsi="宋体" w:cs="宋体"/>
          <w:szCs w:val="21"/>
        </w:rPr>
        <w:t>（2）能力目标：具备职业规划、简历制作、面试技巧、职场沟通等求职技能；强化AI工具应用（如大模型辅助简历优化）、数据分析等数字化就业能力。</w:t>
      </w:r>
    </w:p>
    <w:p w14:paraId="3F1DCF2A">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cs="宋体"/>
          <w:szCs w:val="21"/>
        </w:rPr>
      </w:pPr>
      <w:r>
        <w:rPr>
          <w:rFonts w:hint="eastAsia" w:ascii="宋体" w:hAnsi="宋体" w:cs="宋体"/>
          <w:szCs w:val="21"/>
        </w:rPr>
        <w:t>（3）素养目标：厚植家国情怀，主动将自身的就业目标同国家战略及区域经济发展相结合，树立理性的就业观，增强职业责任感，培养适应社会变革的终身学习能力与职业韧性。</w:t>
      </w:r>
    </w:p>
    <w:p w14:paraId="4AE0F55B">
      <w:pPr>
        <w:keepNext w:val="0"/>
        <w:keepLines w:val="0"/>
        <w:pageBreakBefore w:val="0"/>
        <w:wordWrap/>
        <w:topLinePunct w:val="0"/>
        <w:bidi w:val="0"/>
        <w:adjustRightInd w:val="0"/>
        <w:snapToGrid w:val="0"/>
        <w:spacing w:line="400" w:lineRule="exact"/>
        <w:ind w:left="0" w:right="0" w:firstLine="422" w:firstLineChars="200"/>
        <w:rPr>
          <w:rFonts w:hint="eastAsia" w:ascii="宋体" w:hAnsi="宋体" w:cs="宋体"/>
          <w:b/>
          <w:bCs/>
          <w:szCs w:val="21"/>
        </w:rPr>
      </w:pPr>
      <w:r>
        <w:rPr>
          <w:rFonts w:hint="eastAsia" w:ascii="宋体" w:hAnsi="宋体" w:cs="宋体"/>
          <w:b/>
          <w:bCs/>
          <w:szCs w:val="21"/>
        </w:rPr>
        <w:t>主要内容：</w:t>
      </w:r>
    </w:p>
    <w:p w14:paraId="4E910CDF">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cs="宋体"/>
          <w:szCs w:val="21"/>
        </w:rPr>
      </w:pPr>
      <w:r>
        <w:rPr>
          <w:rFonts w:hint="eastAsia" w:ascii="宋体" w:hAnsi="宋体" w:cs="宋体"/>
          <w:szCs w:val="21"/>
        </w:rPr>
        <w:t>（1）求职目标确定与就业能力提升；（2）就业信息收集与调整；（3）求职技巧；（4）就业心理调适；（5）就业权益保护；（6）职业适应与发展。</w:t>
      </w:r>
    </w:p>
    <w:p w14:paraId="46A26365">
      <w:pPr>
        <w:keepNext w:val="0"/>
        <w:keepLines w:val="0"/>
        <w:pageBreakBefore w:val="0"/>
        <w:wordWrap/>
        <w:topLinePunct w:val="0"/>
        <w:bidi w:val="0"/>
        <w:spacing w:line="400" w:lineRule="exact"/>
        <w:ind w:left="0" w:right="0" w:firstLine="422" w:firstLineChars="200"/>
        <w:rPr>
          <w:rFonts w:hint="eastAsia" w:ascii="宋体" w:hAnsi="宋体" w:cs="宋体"/>
          <w:b/>
          <w:szCs w:val="21"/>
        </w:rPr>
      </w:pPr>
      <w:r>
        <w:rPr>
          <w:rFonts w:hint="eastAsia" w:ascii="宋体" w:hAnsi="宋体" w:cs="宋体"/>
          <w:b/>
          <w:szCs w:val="21"/>
        </w:rPr>
        <w:t>教学要求：</w:t>
      </w:r>
    </w:p>
    <w:p w14:paraId="05EE6105">
      <w:pPr>
        <w:keepNext w:val="0"/>
        <w:keepLines w:val="0"/>
        <w:pageBreakBefore w:val="0"/>
        <w:wordWrap/>
        <w:topLinePunct w:val="0"/>
        <w:bidi w:val="0"/>
        <w:adjustRightInd w:val="0"/>
        <w:snapToGrid w:val="0"/>
        <w:spacing w:line="400" w:lineRule="exact"/>
        <w:ind w:left="0" w:right="0" w:firstLine="420" w:firstLineChars="200"/>
        <w:rPr>
          <w:rFonts w:ascii="宋体" w:hAnsi="宋体" w:cs="宋体"/>
          <w:szCs w:val="21"/>
        </w:rPr>
      </w:pPr>
      <w:r>
        <w:rPr>
          <w:rFonts w:hint="eastAsia" w:ascii="宋体" w:hAnsi="宋体" w:cs="宋体"/>
          <w:szCs w:val="21"/>
        </w:rPr>
        <w:t>（1）教师要求：熟悉</w:t>
      </w:r>
      <w:r>
        <w:rPr>
          <w:rFonts w:hint="eastAsia" w:ascii="宋体" w:hAnsi="宋体" w:cs="宋体"/>
          <w:bCs/>
          <w:szCs w:val="21"/>
        </w:rPr>
        <w:t>车辆工程、</w:t>
      </w:r>
      <w:r>
        <w:rPr>
          <w:rFonts w:ascii="宋体" w:hAnsi="宋体" w:cs="宋体"/>
          <w:bCs/>
          <w:szCs w:val="21"/>
        </w:rPr>
        <w:t>交通</w:t>
      </w:r>
      <w:r>
        <w:rPr>
          <w:rFonts w:hint="eastAsia" w:ascii="宋体" w:hAnsi="宋体" w:cs="宋体"/>
          <w:bCs/>
          <w:szCs w:val="21"/>
        </w:rPr>
        <w:t>工程</w:t>
      </w:r>
      <w:r>
        <w:rPr>
          <w:rFonts w:ascii="宋体" w:hAnsi="宋体" w:cs="宋体"/>
          <w:bCs/>
          <w:szCs w:val="21"/>
        </w:rPr>
        <w:t>、物流</w:t>
      </w:r>
      <w:r>
        <w:rPr>
          <w:rFonts w:hint="eastAsia" w:ascii="宋体" w:hAnsi="宋体" w:cs="宋体"/>
          <w:bCs/>
          <w:szCs w:val="21"/>
        </w:rPr>
        <w:t>管理</w:t>
      </w:r>
      <w:r>
        <w:rPr>
          <w:rFonts w:ascii="宋体" w:hAnsi="宋体" w:cs="宋体"/>
          <w:bCs/>
          <w:szCs w:val="21"/>
        </w:rPr>
        <w:t>等专业</w:t>
      </w:r>
      <w:r>
        <w:rPr>
          <w:rFonts w:hint="eastAsia" w:ascii="宋体" w:hAnsi="宋体" w:cs="宋体"/>
          <w:szCs w:val="21"/>
        </w:rPr>
        <w:t>及未来发展方向、就业政策、求职技巧、工具使用等。</w:t>
      </w:r>
    </w:p>
    <w:p w14:paraId="498A4245">
      <w:pPr>
        <w:keepNext w:val="0"/>
        <w:keepLines w:val="0"/>
        <w:pageBreakBefore w:val="0"/>
        <w:wordWrap/>
        <w:topLinePunct w:val="0"/>
        <w:bidi w:val="0"/>
        <w:adjustRightInd w:val="0"/>
        <w:snapToGrid w:val="0"/>
        <w:spacing w:line="400" w:lineRule="exact"/>
        <w:ind w:left="0" w:right="0" w:firstLine="420" w:firstLineChars="200"/>
        <w:rPr>
          <w:rFonts w:ascii="宋体" w:hAnsi="宋体" w:cs="宋体"/>
          <w:szCs w:val="21"/>
        </w:rPr>
      </w:pPr>
      <w:r>
        <w:rPr>
          <w:rFonts w:hint="eastAsia" w:ascii="宋体" w:hAnsi="宋体" w:cs="宋体"/>
          <w:szCs w:val="21"/>
        </w:rPr>
        <w:t>（2）教学条件：</w:t>
      </w:r>
      <w:r>
        <w:rPr>
          <w:rFonts w:hint="eastAsia" w:ascii="宋体" w:hAnsi="宋体" w:cs="宋体"/>
          <w:bCs/>
          <w:szCs w:val="21"/>
        </w:rPr>
        <w:t>多媒体辅助课件,线上教学平台等，实践课在云招聘室、网络视频面试室、信息查询室、职业发展与就业指导室、校内外实践教学基地等多</w:t>
      </w:r>
      <w:r>
        <w:rPr>
          <w:rFonts w:ascii="宋体" w:hAnsi="宋体" w:cs="宋体"/>
          <w:bCs/>
          <w:szCs w:val="21"/>
        </w:rPr>
        <w:t>平台</w:t>
      </w:r>
      <w:r>
        <w:rPr>
          <w:rFonts w:hint="eastAsia" w:ascii="宋体" w:hAnsi="宋体" w:cs="宋体"/>
          <w:bCs/>
          <w:szCs w:val="21"/>
        </w:rPr>
        <w:t>进行。</w:t>
      </w:r>
    </w:p>
    <w:p w14:paraId="781E60F1">
      <w:pPr>
        <w:keepNext w:val="0"/>
        <w:keepLines w:val="0"/>
        <w:pageBreakBefore w:val="0"/>
        <w:wordWrap/>
        <w:topLinePunct w:val="0"/>
        <w:bidi w:val="0"/>
        <w:adjustRightInd w:val="0"/>
        <w:snapToGrid w:val="0"/>
        <w:spacing w:line="400" w:lineRule="exact"/>
        <w:ind w:left="0" w:right="0" w:firstLine="420" w:firstLineChars="200"/>
        <w:rPr>
          <w:rFonts w:ascii="宋体" w:hAnsi="宋体" w:cs="宋体"/>
          <w:szCs w:val="21"/>
        </w:rPr>
      </w:pPr>
      <w:r>
        <w:rPr>
          <w:rFonts w:hint="eastAsia" w:ascii="宋体" w:hAnsi="宋体" w:cs="宋体"/>
          <w:szCs w:val="21"/>
        </w:rPr>
        <w:t>（3）教学方法：</w:t>
      </w:r>
      <w:r>
        <w:rPr>
          <w:rFonts w:hint="eastAsia" w:ascii="宋体" w:hAnsi="宋体" w:cs="宋体"/>
          <w:bCs/>
          <w:szCs w:val="21"/>
        </w:rPr>
        <w:t>本课程采用理论与实践相结合、讲授与训练相结合的方式进行。</w:t>
      </w:r>
      <w:r>
        <w:rPr>
          <w:rFonts w:hint="eastAsia" w:ascii="宋体" w:hAnsi="宋体" w:cs="宋体"/>
          <w:szCs w:val="21"/>
        </w:rPr>
        <w:t>采用讲授法、案例分析法、小组讨论、翻转课堂、简历大赛、模拟面试等多种教学方法。</w:t>
      </w:r>
    </w:p>
    <w:p w14:paraId="40715885">
      <w:pPr>
        <w:keepNext w:val="0"/>
        <w:keepLines w:val="0"/>
        <w:pageBreakBefore w:val="0"/>
        <w:wordWrap/>
        <w:topLinePunct w:val="0"/>
        <w:bidi w:val="0"/>
        <w:adjustRightInd w:val="0"/>
        <w:snapToGrid w:val="0"/>
        <w:spacing w:line="400" w:lineRule="exact"/>
        <w:ind w:left="0" w:right="0" w:firstLine="420" w:firstLineChars="200"/>
        <w:rPr>
          <w:rFonts w:hint="eastAsia" w:ascii="Times New Roman" w:hAnsi="Times New Roman" w:eastAsia="宋体" w:cs="宋体"/>
          <w:b/>
          <w:szCs w:val="21"/>
        </w:rPr>
      </w:pPr>
      <w:r>
        <w:rPr>
          <w:rFonts w:hint="eastAsia" w:ascii="宋体" w:hAnsi="宋体" w:cs="宋体"/>
          <w:szCs w:val="21"/>
        </w:rPr>
        <w:t>（4）考核评价：</w:t>
      </w:r>
      <w:r>
        <w:rPr>
          <w:rFonts w:hint="eastAsia" w:ascii="宋体" w:hAnsi="宋体" w:cs="宋体"/>
          <w:bCs/>
          <w:szCs w:val="21"/>
        </w:rPr>
        <w:t>过程考核占40%+综合考核占60%。</w:t>
      </w:r>
    </w:p>
    <w:p w14:paraId="0161D7A0">
      <w:pPr>
        <w:keepNext w:val="0"/>
        <w:keepLines w:val="0"/>
        <w:pageBreakBefore w:val="0"/>
        <w:wordWrap/>
        <w:topLinePunct w:val="0"/>
        <w:bidi w:val="0"/>
        <w:adjustRightInd w:val="0"/>
        <w:snapToGrid w:val="0"/>
        <w:spacing w:line="400" w:lineRule="exact"/>
        <w:ind w:left="0" w:right="0" w:firstLine="422" w:firstLineChars="200"/>
        <w:rPr>
          <w:rFonts w:hint="eastAsia" w:ascii="Times New Roman" w:hAnsi="Times New Roman" w:eastAsia="宋体" w:cs="宋体"/>
          <w:b/>
          <w:szCs w:val="21"/>
          <w:lang w:eastAsia="zh-CN"/>
        </w:rPr>
      </w:pPr>
      <w:r>
        <w:rPr>
          <w:rFonts w:hint="eastAsia" w:ascii="Times New Roman" w:hAnsi="Times New Roman" w:eastAsia="宋体" w:cs="宋体"/>
          <w:b/>
          <w:szCs w:val="21"/>
        </w:rPr>
        <w:t>1</w:t>
      </w:r>
      <w:r>
        <w:rPr>
          <w:rFonts w:hint="eastAsia" w:ascii="Times New Roman" w:hAnsi="Times New Roman" w:eastAsia="宋体" w:cs="宋体"/>
          <w:b/>
          <w:szCs w:val="21"/>
          <w:lang w:val="en-US" w:eastAsia="zh-CN"/>
        </w:rPr>
        <w:t>5</w:t>
      </w:r>
      <w:r>
        <w:rPr>
          <w:rFonts w:hint="eastAsia" w:ascii="Times New Roman" w:hAnsi="Times New Roman" w:eastAsia="宋体" w:cs="宋体"/>
          <w:b/>
          <w:szCs w:val="21"/>
        </w:rPr>
        <w:t>.国家安全教育</w:t>
      </w:r>
    </w:p>
    <w:p w14:paraId="6B0D45DF">
      <w:pPr>
        <w:pStyle w:val="11"/>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课程目标：</w:t>
      </w:r>
    </w:p>
    <w:p w14:paraId="1C3DF94E">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（1）知识目标：掌握国家安全的基本理论、政策法规及交通安全相关的国家安全风险及防范措施，理解交通安全与国家安全的紧密联系。</w:t>
      </w:r>
    </w:p>
    <w:p w14:paraId="71FE72DE">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（2）能力目标：培养学生分析和识别交通领域国家安全隐患的能力，提升应对复杂安全问题的实际操作技能，增强风险预警和应急处置能力。</w:t>
      </w:r>
    </w:p>
    <w:p w14:paraId="67A28883">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（3）素质目标：强化思想政治教育，树立正确的国家观念和职业道德，激发爱国主义精神，培养高度的社会责任感和守法意识，推动学生在未来工作中践行国家安全职责。</w:t>
      </w:r>
    </w:p>
    <w:p w14:paraId="7F759F62">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5DD42DF4">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总体国家安全观总论；（2）政治安全；（3）国土安全；（4）军事安全；（5）经济安全；（6）文化安全；（7）社会安全；(8)科技安全；（9）网络安全；（10）生态安全；（11）资源安全；（12）核安全；（13）海外利益安全；（14）新型领域安全。</w:t>
      </w:r>
    </w:p>
    <w:p w14:paraId="4D7A0CEF">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55357C2E">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（1）教师要求：具有较高的政治素养和责任感，能够有效开展思政教育，激发学生的国家安全意识。能够将国家安全理论与交通行业实务结合，具备较强的教学与案例分析能力。</w:t>
      </w:r>
    </w:p>
    <w:p w14:paraId="7CD056AD">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（2）教学条件：配备多媒体教学设施和交通安全模拟实验设备，支持实践教学与案例研究。提供丰富的教学资源，包括国家安全相关政策文本、案例库及专业书籍。</w:t>
      </w:r>
    </w:p>
    <w:p w14:paraId="7269D0E6">
      <w:pPr>
        <w:pStyle w:val="11"/>
        <w:keepNext w:val="0"/>
        <w:keepLines w:val="0"/>
        <w:pageBreakBefore w:val="0"/>
        <w:widowControl/>
        <w:suppressLineNumbers w:val="0"/>
        <w:kinsoku/>
        <w:wordWrap/>
        <w:overflowPunct/>
        <w:topLinePunct w:val="0"/>
        <w:autoSpaceDE w:val="0"/>
        <w:autoSpaceDN/>
        <w:bidi w:val="0"/>
        <w:spacing w:beforeAutospacing="0" w:afterAutospacing="0" w:line="400" w:lineRule="exact"/>
        <w:ind w:left="0" w:right="0" w:firstLine="420" w:firstLineChars="200"/>
        <w:jc w:val="left"/>
        <w:textAlignment w:val="auto"/>
        <w:rPr>
          <w:rFonts w:hint="eastAsia" w:ascii="宋体" w:hAnsi="宋体" w:eastAsia="宋体" w:cs="宋体"/>
          <w:b w:val="0"/>
          <w:bCs/>
          <w:kern w:val="2"/>
          <w:sz w:val="21"/>
          <w:szCs w:val="21"/>
          <w:lang w:val="en-US" w:eastAsia="zh-CN" w:bidi="ar"/>
        </w:rPr>
      </w:pPr>
      <w:r>
        <w:rPr>
          <w:rFonts w:hint="eastAsia" w:ascii="宋体" w:hAnsi="宋体" w:eastAsia="宋体" w:cs="宋体"/>
          <w:b w:val="0"/>
          <w:bCs/>
          <w:kern w:val="2"/>
          <w:sz w:val="21"/>
          <w:szCs w:val="21"/>
          <w:lang w:val="en-US" w:eastAsia="zh-CN" w:bidi="ar"/>
        </w:rPr>
        <w:t>（3）教学方法：采用理论讲授与案例分析相结合的方法，注重互动讨论。利用情景模拟、角色扮演等方式提高学生的实际应对能力。融入思政教育内容，结合时政热点开展专题讲座，增强课程的思想性和现实针对性。</w:t>
      </w:r>
    </w:p>
    <w:p w14:paraId="4EF29FCB">
      <w:pPr>
        <w:keepNext w:val="0"/>
        <w:keepLines w:val="0"/>
        <w:pageBreakBefore w:val="0"/>
        <w:wordWrap/>
        <w:topLinePunct w:val="0"/>
        <w:bidi w:val="0"/>
        <w:adjustRightInd w:val="0"/>
        <w:snapToGrid w:val="0"/>
        <w:spacing w:line="400" w:lineRule="exact"/>
        <w:ind w:left="0" w:right="0" w:firstLine="420" w:firstLineChars="200"/>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w:t>
      </w:r>
      <w:r>
        <w:rPr>
          <w:rFonts w:hint="default" w:cs="宋体"/>
          <w:b w:val="0"/>
          <w:bCs/>
          <w:kern w:val="2"/>
          <w:sz w:val="21"/>
          <w:szCs w:val="21"/>
          <w:lang w:eastAsia="zh-CN" w:bidi="ar"/>
        </w:rPr>
        <w:t>4</w:t>
      </w:r>
      <w:r>
        <w:rPr>
          <w:rFonts w:hint="eastAsia" w:ascii="宋体" w:hAnsi="宋体" w:eastAsia="宋体" w:cs="宋体"/>
          <w:b w:val="0"/>
          <w:bCs/>
          <w:kern w:val="2"/>
          <w:sz w:val="21"/>
          <w:szCs w:val="21"/>
          <w:lang w:val="en-US" w:eastAsia="zh-CN" w:bidi="ar"/>
        </w:rPr>
        <w:t>0%+综合考核占</w:t>
      </w:r>
      <w:r>
        <w:rPr>
          <w:rFonts w:hint="default" w:cs="宋体"/>
          <w:b w:val="0"/>
          <w:bCs/>
          <w:kern w:val="2"/>
          <w:sz w:val="21"/>
          <w:szCs w:val="21"/>
          <w:lang w:eastAsia="zh-CN" w:bidi="ar"/>
        </w:rPr>
        <w:t>6</w:t>
      </w:r>
      <w:r>
        <w:rPr>
          <w:rFonts w:hint="eastAsia" w:ascii="宋体" w:hAnsi="宋体" w:eastAsia="宋体" w:cs="宋体"/>
          <w:b w:val="0"/>
          <w:bCs/>
          <w:kern w:val="2"/>
          <w:sz w:val="21"/>
          <w:szCs w:val="21"/>
          <w:lang w:val="en-US" w:eastAsia="zh-CN" w:bidi="ar"/>
        </w:rPr>
        <w:t>0%。</w:t>
      </w:r>
    </w:p>
    <w:p w14:paraId="695E1DDA">
      <w:pPr>
        <w:keepNext w:val="0"/>
        <w:keepLines w:val="0"/>
        <w:pageBreakBefore w:val="0"/>
        <w:wordWrap/>
        <w:topLinePunct w:val="0"/>
        <w:bidi w:val="0"/>
        <w:adjustRightInd w:val="0"/>
        <w:snapToGrid w:val="0"/>
        <w:spacing w:line="400" w:lineRule="exact"/>
        <w:ind w:left="0" w:right="0"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16.大学生心理健康教育</w:t>
      </w:r>
    </w:p>
    <w:p w14:paraId="31097D69">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0B6EFC52">
      <w:pPr>
        <w:pStyle w:val="11"/>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知识目标：掌握心理健康标准及意义，明确其对个人成长与职业发展的作用。了解不同职业场景下常见的心理特点，明晰团队协作中的心理规律，知晓特殊事件对心理的影响，建立适配交通职业的认知体系。</w:t>
      </w:r>
    </w:p>
    <w:p w14:paraId="3B6CF6F7">
      <w:pPr>
        <w:pStyle w:val="11"/>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（2）能力目标：提升自我认知与情绪识别能力，能察觉学习实践中的心理变化。增强团队协作中的沟通能力，学会应对各类心理挑战，提高在交通职业环境中解决心理问题的实践能力。</w:t>
      </w:r>
    </w:p>
    <w:p w14:paraId="4AD16762">
      <w:pPr>
        <w:pStyle w:val="11"/>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color w:val="FF0000"/>
          <w:kern w:val="2"/>
          <w:sz w:val="21"/>
          <w:szCs w:val="21"/>
        </w:rPr>
      </w:pPr>
      <w:r>
        <w:rPr>
          <w:rFonts w:hint="eastAsia" w:ascii="宋体" w:hAnsi="宋体" w:eastAsia="宋体" w:cs="宋体"/>
          <w:b w:val="0"/>
          <w:bCs/>
          <w:kern w:val="2"/>
          <w:sz w:val="21"/>
          <w:szCs w:val="21"/>
          <w:lang w:val="en-US" w:eastAsia="zh-CN" w:bidi="ar"/>
        </w:rPr>
        <w:t>（3）素质目标：将课程所学与强国建设使命结合，培养爱岗敬业、责任担当精神，增强社会责任感。形成坚韧意志与正确价值观，实现心理素质与思想道德素质协同发展，为行业发展和社会进步贡献力量。</w:t>
      </w:r>
    </w:p>
    <w:p w14:paraId="1F85971F">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1"/>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11D95D87">
      <w:pPr>
        <w:keepNext w:val="0"/>
        <w:keepLines w:val="0"/>
        <w:pageBreakBefore w:val="0"/>
        <w:widowControl w:val="0"/>
        <w:numPr>
          <w:ilvl w:val="0"/>
          <w:numId w:val="0"/>
        </w:numPr>
        <w:suppressLineNumbers w:val="0"/>
        <w:kinsoku/>
        <w:wordWrap/>
        <w:overflowPunct/>
        <w:topLinePunct w:val="0"/>
        <w:autoSpaceDE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cs="宋体"/>
          <w:b w:val="0"/>
          <w:bCs/>
          <w:kern w:val="2"/>
          <w:sz w:val="21"/>
          <w:szCs w:val="21"/>
          <w:lang w:val="en-US" w:eastAsia="zh-CN" w:bidi="ar"/>
        </w:rPr>
        <w:t>（1）</w:t>
      </w:r>
      <w:r>
        <w:rPr>
          <w:rFonts w:hint="eastAsia" w:ascii="宋体" w:hAnsi="宋体" w:eastAsia="宋体" w:cs="宋体"/>
          <w:b w:val="0"/>
          <w:bCs/>
          <w:kern w:val="2"/>
          <w:sz w:val="21"/>
          <w:szCs w:val="21"/>
          <w:lang w:val="en-US" w:eastAsia="zh-CN" w:bidi="ar"/>
        </w:rPr>
        <w:t>大学生心理健康导论（2）认识自我（3）学习心理（4）人际交往（5）恋爱心理（6）性心理（7）家庭关系（8）情绪管理（9）网络心理（10）压力与应对（11）生命意义与危机干预（12）职业生涯规划</w:t>
      </w:r>
    </w:p>
    <w:p w14:paraId="44E8FD8A">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69348905">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firstLineChars="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需具备扎实的心理学理论基础，掌握心理健康教育核心知识，熟悉大学生心理发展规律及职业心理特点，了解思政教育与心理健康教育融合的方法，能精准对接课程十二大模块内容。同时，具备教学设计与实践组织能力，能结合课程目标设计案例分析、情景模拟等教学活动；拥有良好的沟通与引导能力，可有效开展心理互动与团队协作指导；具备心理辅导与危机识别基础能力，能融入思政元素培养学生责任担当意识。</w:t>
      </w:r>
    </w:p>
    <w:p w14:paraId="0C0C7FDD">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（2）教学条件：需配备多媒体教室（含投影仪、音响等设备），提供配套教材、教学PPT、心理案例库（涵盖学习、人际、职业等场景）及相关文献资源。</w:t>
      </w:r>
    </w:p>
    <w:p w14:paraId="22F9CBBD">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（3）教学方法：现场教学法、分组讨论法、直观演示法、案例分析法、启发教学法和角色扮演。</w:t>
      </w:r>
    </w:p>
    <w:p w14:paraId="1CB1B449">
      <w:pPr>
        <w:keepNext w:val="0"/>
        <w:keepLines w:val="0"/>
        <w:pageBreakBefore w:val="0"/>
        <w:widowControl w:val="0"/>
        <w:suppressLineNumbers w:val="0"/>
        <w:kinsoku/>
        <w:wordWrap/>
        <w:overflowPunct/>
        <w:topLinePunct w:val="0"/>
        <w:autoSpaceDE w:val="0"/>
        <w:autoSpaceDN/>
        <w:bidi w:val="0"/>
        <w:adjustRightInd w:val="0"/>
        <w:snapToGrid w:val="0"/>
        <w:spacing w:beforeAutospacing="0" w:afterAutospacing="0" w:line="400" w:lineRule="exact"/>
        <w:ind w:left="0" w:right="0" w:firstLine="420"/>
        <w:jc w:val="both"/>
        <w:textAlignment w:val="auto"/>
        <w:rPr>
          <w:rFonts w:hint="eastAsia" w:ascii="Times New Roman" w:hAnsi="Times New Roman" w:eastAsia="宋体" w:cs="宋体"/>
          <w:b/>
          <w:szCs w:val="21"/>
          <w:lang w:val="en-US" w:eastAsia="zh-CN"/>
        </w:rPr>
      </w:pPr>
      <w:r>
        <w:rPr>
          <w:rFonts w:hint="eastAsia" w:ascii="宋体" w:hAnsi="宋体" w:eastAsia="宋体" w:cs="宋体"/>
          <w:b w:val="0"/>
          <w:bCs/>
          <w:kern w:val="2"/>
          <w:sz w:val="21"/>
          <w:szCs w:val="21"/>
          <w:lang w:val="en-US" w:eastAsia="zh-CN" w:bidi="ar"/>
        </w:rPr>
        <w:t>（4）考核评价：过程考核占40%+期末考核占60%。</w:t>
      </w:r>
    </w:p>
    <w:p w14:paraId="53B7F148">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Times New Roman" w:hAnsi="Times New Roman" w:eastAsia="宋体" w:cs="宋体"/>
          <w:b/>
          <w:szCs w:val="21"/>
          <w:lang w:val="en-US" w:eastAsia="zh-CN"/>
        </w:rPr>
      </w:pPr>
      <w:r>
        <w:rPr>
          <w:rFonts w:hint="eastAsia" w:ascii="Times New Roman" w:hAnsi="Times New Roman" w:eastAsia="宋体" w:cs="宋体"/>
          <w:b/>
          <w:szCs w:val="21"/>
          <w:lang w:val="en-US" w:eastAsia="zh-CN"/>
        </w:rPr>
        <w:t>17.劳动教育</w:t>
      </w:r>
    </w:p>
    <w:p w14:paraId="4DC2CFDE">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5B46EF3D">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（1）知识目标</w:t>
      </w:r>
    </w:p>
    <w:p w14:paraId="4DCEC9C9">
      <w:pPr>
        <w:keepNext w:val="0"/>
        <w:keepLines w:val="0"/>
        <w:pageBreakBefore w:val="0"/>
        <w:widowControl w:val="0"/>
        <w:suppressLineNumbers w:val="0"/>
        <w:kinsoku/>
        <w:wordWrap/>
        <w:overflowPunct/>
        <w:topLinePunct w:val="0"/>
        <w:autoSpaceDE/>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知识目标一：通过劳动教育课程，培养学生正确的劳动观念、劳动习惯和劳动精神，增强学生社会责任感与实践能力。</w:t>
      </w:r>
    </w:p>
    <w:p w14:paraId="34D686A0">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知识目标二：落实国家关于加强新时代大中小学劳动教育的要求，使学生理解劳动创造价值、劳动最光荣的内涵，掌握基本劳动技能，形成尊重劳动、热爱劳动的品质，促进学生全面发展。</w:t>
      </w:r>
    </w:p>
    <w:p w14:paraId="14BED79D">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（2）</w:t>
      </w:r>
      <w:r>
        <w:rPr>
          <w:rFonts w:hint="eastAsia" w:ascii="宋体" w:hAnsi="宋体" w:eastAsia="宋体" w:cs="宋体"/>
          <w:kern w:val="2"/>
          <w:sz w:val="21"/>
          <w:szCs w:val="21"/>
          <w:lang w:val="en-US" w:eastAsia="zh-CN" w:bidi="ar"/>
        </w:rPr>
        <w:t>能力目标</w:t>
      </w:r>
    </w:p>
    <w:p w14:paraId="66D77FEA">
      <w:pPr>
        <w:keepNext w:val="0"/>
        <w:keepLines w:val="0"/>
        <w:pageBreakBefore w:val="0"/>
        <w:widowControl w:val="0"/>
        <w:suppressLineNumbers w:val="0"/>
        <w:kinsoku/>
        <w:wordWrap/>
        <w:overflowPunct/>
        <w:topLinePunct w:val="0"/>
        <w:autoSpaceDN/>
        <w:bidi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通过劳动教育课程，使学生掌握基础劳动技能与工具使用方法，具备独立完成校园清洁、绿化维护、手工制作等实践任务的能力。能够结合专业特色设计劳动方案，解决简单劳动问题，并在团队协作中提升沟通协调与任务执行效率，形成持续改进的劳动实践能力。</w:t>
      </w:r>
    </w:p>
    <w:p w14:paraId="779670FF">
      <w:pPr>
        <w:keepNext w:val="0"/>
        <w:keepLines w:val="0"/>
        <w:pageBreakBefore w:val="0"/>
        <w:widowControl w:val="0"/>
        <w:numPr>
          <w:ilvl w:val="0"/>
          <w:numId w:val="0"/>
        </w:numPr>
        <w:suppressLineNumbers w:val="0"/>
        <w:kinsoku/>
        <w:wordWrap/>
        <w:overflowPunct/>
        <w:topLinePunct w:val="0"/>
        <w:autoSpaceDN/>
        <w:bidi w:val="0"/>
        <w:adjustRightInd w:val="0"/>
        <w:snapToGrid w:val="0"/>
        <w:spacing w:beforeAutospacing="0" w:afterAutospacing="0" w:line="400" w:lineRule="exact"/>
        <w:ind w:left="0" w:leftChars="0" w:right="0" w:rightChars="0" w:firstLine="420" w:firstLineChars="200"/>
        <w:jc w:val="both"/>
        <w:textAlignment w:val="auto"/>
        <w:rPr>
          <w:rFonts w:hint="eastAsia" w:ascii="宋体" w:hAnsi="宋体" w:eastAsia="宋体" w:cs="宋体"/>
          <w:kern w:val="2"/>
          <w:sz w:val="21"/>
          <w:szCs w:val="21"/>
        </w:rPr>
      </w:pPr>
      <w:r>
        <w:rPr>
          <w:rFonts w:hint="eastAsia" w:ascii="宋体" w:hAnsi="宋体" w:cs="宋体"/>
          <w:kern w:val="2"/>
          <w:sz w:val="21"/>
          <w:szCs w:val="21"/>
          <w:lang w:val="en-US" w:eastAsia="zh-CN" w:bidi="ar"/>
        </w:rPr>
        <w:t>（3）</w:t>
      </w:r>
      <w:r>
        <w:rPr>
          <w:rFonts w:hint="eastAsia" w:ascii="宋体" w:hAnsi="宋体" w:eastAsia="宋体" w:cs="宋体"/>
          <w:kern w:val="2"/>
          <w:sz w:val="21"/>
          <w:szCs w:val="21"/>
          <w:lang w:val="en-US" w:eastAsia="zh-CN" w:bidi="ar"/>
        </w:rPr>
        <w:t>素质目标</w:t>
      </w:r>
    </w:p>
    <w:p w14:paraId="49695C01">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leftChars="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培养学生尊重劳动、崇尚技能的价值观，强化责任意识与吃苦精神。通过劳动实践塑造严谨细致、精益求精的工匠态度，增强集体荣誉感与社会服务意识。引导学生树立</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劳动创造价值</w:t>
      </w:r>
      <w:r>
        <w:rPr>
          <w:rFonts w:hint="eastAsia" w:cs="Times New Roman"/>
          <w:kern w:val="2"/>
          <w:sz w:val="21"/>
          <w:szCs w:val="21"/>
          <w:lang w:val="en-US" w:eastAsia="zh-CN" w:bidi="ar"/>
        </w:rPr>
        <w:t>”</w:t>
      </w:r>
      <w:r>
        <w:rPr>
          <w:rFonts w:hint="eastAsia" w:ascii="宋体" w:hAnsi="宋体" w:eastAsia="宋体" w:cs="宋体"/>
          <w:kern w:val="2"/>
          <w:sz w:val="21"/>
          <w:szCs w:val="21"/>
          <w:lang w:val="en-US" w:eastAsia="zh-CN" w:bidi="ar"/>
        </w:rPr>
        <w:t>的人生观，形成勤俭节约、绿色环保的生活理念，最终成长为德技并修的新时代应用型人才。</w:t>
      </w:r>
    </w:p>
    <w:p w14:paraId="65877201">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主要内容：</w:t>
      </w:r>
    </w:p>
    <w:p w14:paraId="68F10958">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（1）劳动理论与价值观教育：包括马克思主义劳动观、劳动法律法规、劳动安全与权益保护等知识，引导学生树立正确的劳动价值观</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（2）日常生活劳动实践：开展校园环境维护、宿舍内务整理、食堂帮厨等实践活动，培养学生生活自理能力与卫生习惯</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（3）生产劳动技能训练：结合电子商务专业特点，组织物流包装、商品分拣、电商运营模拟等实训，提升学生动手能力和职业素养</w:t>
      </w:r>
      <w:r>
        <w:rPr>
          <w:rFonts w:hint="eastAsia" w:ascii="宋体" w:hAnsi="宋体" w:cs="宋体"/>
          <w:kern w:val="2"/>
          <w:sz w:val="21"/>
          <w:szCs w:val="21"/>
          <w:lang w:val="en-US" w:eastAsia="zh-CN" w:bidi="ar"/>
        </w:rPr>
        <w:t>；</w:t>
      </w:r>
      <w:r>
        <w:rPr>
          <w:rFonts w:hint="eastAsia" w:ascii="宋体" w:hAnsi="宋体" w:eastAsia="宋体" w:cs="宋体"/>
          <w:kern w:val="2"/>
          <w:sz w:val="21"/>
          <w:szCs w:val="21"/>
          <w:lang w:val="en-US" w:eastAsia="zh-CN" w:bidi="ar"/>
        </w:rPr>
        <w:t>（4）公益服务劳动体验：参与社区志愿服务、校园公益活动，增强学生社会责任感与奉献精神。</w:t>
      </w:r>
    </w:p>
    <w:p w14:paraId="51E5657D">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2" w:firstLineChars="200"/>
        <w:jc w:val="both"/>
        <w:textAlignment w:val="auto"/>
        <w:rPr>
          <w:rFonts w:hint="eastAsia" w:ascii="宋体" w:hAnsi="宋体" w:eastAsia="宋体" w:cs="宋体"/>
          <w:b/>
          <w:bCs w:val="0"/>
          <w:kern w:val="2"/>
          <w:sz w:val="21"/>
          <w:szCs w:val="21"/>
        </w:rPr>
      </w:pPr>
      <w:r>
        <w:rPr>
          <w:rFonts w:hint="eastAsia" w:ascii="宋体" w:hAnsi="宋体" w:eastAsia="宋体" w:cs="宋体"/>
          <w:b/>
          <w:bCs w:val="0"/>
          <w:kern w:val="2"/>
          <w:sz w:val="21"/>
          <w:szCs w:val="21"/>
          <w:lang w:val="en-US" w:eastAsia="zh-CN" w:bidi="ar"/>
        </w:rPr>
        <w:t>教学要求：</w:t>
      </w:r>
    </w:p>
    <w:p w14:paraId="2CA8673B">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（1）教师要求：</w:t>
      </w:r>
      <w:r>
        <w:rPr>
          <w:rFonts w:hint="eastAsia" w:ascii="宋体" w:hAnsi="宋体" w:eastAsia="宋体" w:cs="宋体"/>
          <w:kern w:val="2"/>
          <w:sz w:val="21"/>
          <w:szCs w:val="21"/>
          <w:lang w:val="en-US" w:eastAsia="zh-CN" w:bidi="ar"/>
        </w:rPr>
        <w:t>理论教学要通过课堂讲授、案例分析、小组讨论等形式，确保学生掌握劳动教育基本理论。</w:t>
      </w:r>
    </w:p>
    <w:p w14:paraId="2A677315">
      <w:pPr>
        <w:keepNext w:val="0"/>
        <w:keepLines w:val="0"/>
        <w:pageBreakBefore w:val="0"/>
        <w:widowControl w:val="0"/>
        <w:suppressLineNumbers w:val="0"/>
        <w:kinsoku/>
        <w:wordWrap/>
        <w:overflowPunct/>
        <w:topLinePunct w:val="0"/>
        <w:autoSpaceDN/>
        <w:bidi w:val="0"/>
        <w:adjustRightInd w:val="0"/>
        <w:snapToGrid w:val="0"/>
        <w:spacing w:beforeAutospacing="0" w:afterAutospacing="0" w:line="400" w:lineRule="exact"/>
        <w:ind w:left="0" w:right="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（2）教学条件：</w:t>
      </w:r>
      <w:r>
        <w:rPr>
          <w:rFonts w:hint="eastAsia" w:ascii="宋体" w:hAnsi="宋体" w:eastAsia="宋体" w:cs="宋体"/>
          <w:kern w:val="2"/>
          <w:sz w:val="21"/>
          <w:szCs w:val="21"/>
          <w:lang w:val="en-US" w:eastAsia="zh-CN" w:bidi="ar"/>
        </w:rPr>
        <w:t>严格遵守劳动安全规范，配备必要防护用品，确保实践活动安全有序开展。进行资源整合，联合校企合作单位、社区组织共建劳动实践基地，丰富劳动教育形式与内容。</w:t>
      </w:r>
    </w:p>
    <w:p w14:paraId="088E514E">
      <w:pPr>
        <w:pStyle w:val="11"/>
        <w:keepNext w:val="0"/>
        <w:keepLines w:val="0"/>
        <w:pageBreakBefore w:val="0"/>
        <w:widowControl w:val="0"/>
        <w:suppressLineNumbers w:val="0"/>
        <w:kinsoku/>
        <w:wordWrap/>
        <w:overflowPunct/>
        <w:topLinePunct w:val="0"/>
        <w:autoSpaceDE w:val="0"/>
        <w:autoSpaceDN/>
        <w:bidi w:val="0"/>
        <w:spacing w:beforeAutospacing="0" w:afterAutospacing="0" w:line="400" w:lineRule="exact"/>
        <w:ind w:left="0" w:right="0" w:rightChars="0" w:firstLine="420" w:firstLineChars="200"/>
        <w:jc w:val="both"/>
        <w:textAlignment w:val="auto"/>
        <w:rPr>
          <w:rFonts w:hint="eastAsia" w:ascii="宋体" w:hAnsi="宋体" w:eastAsia="宋体" w:cs="宋体"/>
          <w:b w:val="0"/>
          <w:bCs/>
          <w:kern w:val="2"/>
          <w:sz w:val="21"/>
          <w:szCs w:val="21"/>
        </w:rPr>
      </w:pPr>
      <w:r>
        <w:rPr>
          <w:rFonts w:hint="eastAsia" w:ascii="宋体" w:hAnsi="宋体" w:eastAsia="宋体" w:cs="宋体"/>
          <w:b w:val="0"/>
          <w:bCs/>
          <w:kern w:val="2"/>
          <w:sz w:val="21"/>
          <w:szCs w:val="21"/>
          <w:lang w:val="en-US" w:eastAsia="zh-CN" w:bidi="ar"/>
        </w:rPr>
        <w:t>（3）教学方法：在线理论教学+线下劳动实践。</w:t>
      </w:r>
    </w:p>
    <w:p w14:paraId="7FCE5B99">
      <w:pPr>
        <w:keepNext w:val="0"/>
        <w:keepLines w:val="0"/>
        <w:pageBreakBefore w:val="0"/>
        <w:wordWrap/>
        <w:topLinePunct w:val="0"/>
        <w:bidi w:val="0"/>
        <w:adjustRightInd w:val="0"/>
        <w:snapToGrid w:val="0"/>
        <w:spacing w:line="400" w:lineRule="exact"/>
        <w:ind w:left="0" w:right="0" w:firstLine="420" w:firstLineChars="200"/>
        <w:rPr>
          <w:rFonts w:hint="default" w:ascii="宋体" w:hAnsi="宋体" w:eastAsia="宋体" w:cs="宋体"/>
          <w:bCs/>
          <w:szCs w:val="21"/>
          <w:lang w:val="en-US" w:eastAsia="zh-CN"/>
        </w:rPr>
      </w:pPr>
      <w:r>
        <w:rPr>
          <w:rFonts w:hint="eastAsia" w:ascii="宋体" w:hAnsi="宋体" w:eastAsia="宋体" w:cs="宋体"/>
          <w:b w:val="0"/>
          <w:bCs/>
          <w:kern w:val="2"/>
          <w:sz w:val="21"/>
          <w:szCs w:val="21"/>
          <w:lang w:val="en-US" w:eastAsia="zh-CN" w:bidi="ar"/>
        </w:rPr>
        <w:t>（4）考核评价</w:t>
      </w:r>
      <w:r>
        <w:rPr>
          <w:rFonts w:hint="default" w:ascii="宋体" w:hAnsi="宋体" w:cs="宋体"/>
          <w:b w:val="0"/>
          <w:bCs/>
          <w:kern w:val="2"/>
          <w:sz w:val="21"/>
          <w:szCs w:val="21"/>
          <w:lang w:eastAsia="zh-CN" w:bidi="ar"/>
        </w:rPr>
        <w:t>：</w:t>
      </w:r>
      <w:r>
        <w:rPr>
          <w:rFonts w:hint="eastAsia" w:ascii="宋体" w:hAnsi="宋体" w:eastAsia="宋体" w:cs="宋体"/>
          <w:b w:val="0"/>
          <w:bCs/>
          <w:kern w:val="2"/>
          <w:sz w:val="21"/>
          <w:szCs w:val="21"/>
          <w:lang w:val="en-US" w:eastAsia="zh-CN" w:bidi="ar"/>
        </w:rPr>
        <w:t>以</w:t>
      </w:r>
      <w:r>
        <w:rPr>
          <w:rFonts w:hint="eastAsia" w:ascii="宋体" w:hAnsi="宋体" w:eastAsia="宋体" w:cs="宋体"/>
          <w:kern w:val="2"/>
          <w:sz w:val="21"/>
          <w:szCs w:val="21"/>
          <w:lang w:val="en-US" w:eastAsia="zh-CN" w:bidi="ar"/>
        </w:rPr>
        <w:t>实践考核为主，劳动实践时长不少于16学时，采用过程性评价与成果展示相结合的方式，考核学生劳动态度、技能掌握情况。</w:t>
      </w:r>
    </w:p>
    <w:p w14:paraId="28198DF8">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（二）专业课程</w:t>
      </w:r>
    </w:p>
    <w:p w14:paraId="0B065AF7">
      <w:pPr>
        <w:keepNext w:val="0"/>
        <w:keepLines w:val="0"/>
        <w:pageBreakBefore w:val="0"/>
        <w:wordWrap/>
        <w:topLinePunct w:val="0"/>
        <w:bidi w:val="0"/>
        <w:adjustRightInd w:val="0"/>
        <w:snapToGrid w:val="0"/>
        <w:spacing w:line="400" w:lineRule="exact"/>
        <w:ind w:left="0" w:right="0" w:firstLine="404" w:firstLineChars="200"/>
        <w:rPr>
          <w:rFonts w:hint="eastAsia" w:ascii="宋体" w:hAnsi="宋体" w:cs="宋体" w:eastAsiaTheme="minorEastAsia"/>
          <w:bCs/>
          <w:color w:val="0070C0"/>
          <w:szCs w:val="21"/>
          <w:lang w:val="en-US" w:eastAsia="zh-CN"/>
        </w:rPr>
      </w:pPr>
      <w:r>
        <w:rPr>
          <w:rFonts w:hint="eastAsia"/>
          <w:color w:val="000000" w:themeColor="text1"/>
          <w:spacing w:val="-4"/>
          <w:lang w:val="en-US" w:eastAsia="zh-CN"/>
          <w14:textFill>
            <w14:solidFill>
              <w14:schemeClr w14:val="tx1"/>
            </w14:solidFill>
          </w14:textFill>
        </w:rPr>
        <w:t>该专业专业理论课共包含专业必修课程和专业选修课程两大类。专业必修课程有</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汽车机械制图</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汽车机械基础</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C语言程序设计</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单片机应用技术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汽车电工电子技术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汽车构造</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新能源汽车电气技术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新能源汽车电池及管理系统</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新能源汽车驱动电机及控制技术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新能源汽车综合性能检测与故障诊断</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新能源汽车整车控制技术</w:t>
      </w:r>
      <w:r>
        <w:rPr>
          <w:rFonts w:hint="eastAsia"/>
          <w:color w:val="000000" w:themeColor="text1"/>
          <w:spacing w:val="-4"/>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11</w:t>
      </w:r>
      <w:r>
        <w:rPr>
          <w:rFonts w:hint="eastAsia"/>
          <w:color w:val="000000" w:themeColor="text1"/>
          <w:spacing w:val="-4"/>
          <w:lang w:val="en-US" w:eastAsia="zh-CN"/>
          <w14:textFill>
            <w14:solidFill>
              <w14:schemeClr w14:val="tx1"/>
            </w14:solidFill>
          </w14:textFill>
        </w:rPr>
        <w:t>门课程，31.5学分。</w:t>
      </w:r>
    </w:p>
    <w:p w14:paraId="335570DB">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1.汽车机械制图</w:t>
      </w:r>
    </w:p>
    <w:p w14:paraId="38117DD2">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61DC5C9D">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机械制图的基本原理与规范，包括视图表达、尺寸标注、公差配合等核心内容；清晰分辨汽车不同零部件（如发动机零件、底盘构件等）的制图特点与差异；深入了解汽车行业发展对机械制图带来的新要求，尤其是新能源汽车零部件在结构复杂性、精度要求等方面对制图技术的影响。</w:t>
      </w:r>
    </w:p>
    <w:p w14:paraId="660AA487">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机械制图知识，准确绘制汽车各类零部件的图样，包括零件图和装配图；能够正确识读复杂的汽车机械图纸，并根据图纸分析零部件的结构特点和装配关系；熟练使用各类制图工具（如绘图仪器、CAD软件等）完成制图任务。</w:t>
      </w:r>
    </w:p>
    <w:p w14:paraId="1E191B7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汽车机械制图技术钻研的严谨态度和细致精神；培养良好的团队协作能力，在制图协作过程中有效沟通、配合；树立一定的职业责任感，确保制图工作的准确性和规范性，符合行业职业道德要求。</w:t>
      </w:r>
    </w:p>
    <w:p w14:paraId="652C1850">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4050FCE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（1）汽车机械制图基础知识；（2）汽车零件的视图表达；（3）汽车零件图绘制与识读；（4）汽车装配图绘制与识读；（5）汽车标准件与常用件制图；（6）新能源汽车典型零部件制图专题。</w:t>
      </w:r>
    </w:p>
    <w:p w14:paraId="059A4A5A">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2FD8A7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（1）教师要求：熟悉汽车各零部件的结构特点和装配关系，具备扎实的机械制图理论知识和丰富的汽车行业制图实践经验，能够结合汽车实际案例讲解制图要点。</w:t>
      </w:r>
    </w:p>
    <w:p w14:paraId="01E16F16">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（2）教学条件：配备多媒体课件（包含大量汽车零部件图纸案例），实践课在制图实训室进行，配置专业CAD制图软件、虚拟制图仿真系统等设备。</w:t>
      </w:r>
    </w:p>
    <w:p w14:paraId="5F70EC7C">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采用现场教学法（结合汽车零部件实物讲解制图）、分组讨论法（针对复杂图纸进行分析讨论）、直观演示法（通过软件演示制图步骤）、动手实践法（实际绘制与识读图纸）、自主学习法（独立完成制图任务）和任务驱动法（以具体零部件制图为任务开展学习）。</w:t>
      </w:r>
    </w:p>
    <w:p w14:paraId="3415EB8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bCs w:val="0"/>
          <w:szCs w:val="21"/>
          <w:lang w:val="en-US" w:eastAsia="zh-CN"/>
        </w:rPr>
      </w:pPr>
      <w:r>
        <w:rPr>
          <w:rFonts w:hint="eastAsia" w:ascii="宋体" w:hAnsi="宋体" w:eastAsia="宋体" w:cs="宋体"/>
          <w:b w:val="0"/>
          <w:bCs/>
          <w:kern w:val="2"/>
          <w:sz w:val="21"/>
          <w:szCs w:val="21"/>
          <w:lang w:val="en-US" w:eastAsia="zh-CN" w:bidi="ar-SA"/>
        </w:rPr>
        <w:t>（4）考核评价：过程考核占70%（包括课堂练习、制图作业、小组任务等）+综合考核占30%（包括期末制图综合实训、图纸识读考试等）。</w:t>
      </w:r>
    </w:p>
    <w:p w14:paraId="5B8A6454">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2.汽车机械基础</w:t>
      </w:r>
    </w:p>
    <w:p w14:paraId="386051B2">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2D653AA6">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机械基础的核心知识，包括汽车常用机械零件（如齿轮、轴、轴承等）的结构特点、工作原理及选用原则；清晰分辨传统燃油汽车与新能源汽车在机械系统（如传动机构、悬挂系统等）上的构造差异与联系；深入了解新能源汽车发展对机械基础技术的新要求，尤其是电机驱动系统、电池支撑结构等新型机械部件的设计原理与性能特点。</w:t>
      </w:r>
    </w:p>
    <w:p w14:paraId="35A5E31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机械基础理论知识，准确分析汽车机械部件的受力情况、运动规律及失效原因，解决汽车维修、设计中涉及机械基础方面的一般问题；正确且熟练地使用各类机械测量工具和设备，对汽车机械部件进行参数检测。</w:t>
      </w:r>
    </w:p>
    <w:p w14:paraId="65F7F12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机械技术钻研的热情和创新意识；培养良好的团队合作精神，在机械部件分析、检测等任务中高效协作；树立一定的社会责任感和职业道德，确保机械部件设计、维修的安全性与可靠性。</w:t>
      </w:r>
    </w:p>
    <w:p w14:paraId="3054603D">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1D7E80B1">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机械基础概述；（2）汽车常用机械零件构造与原理；（3）汽车机械传动系统；（4）汽车机械强度与刚度基础；（5）传统汽车与新能源汽车机械系统对比；（6）新能源汽车典型机械部件专题（如电机支撑结构、电池组机械防护等）。</w:t>
      </w:r>
    </w:p>
    <w:p w14:paraId="76004A00">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4BAA96B7">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（1）教师要求：熟悉汽车各类机械部件的工作过程、结构特性及装配关系，具备扎实的汽车机械基础理论知识和丰富的实践能力。</w:t>
      </w:r>
    </w:p>
    <w:p w14:paraId="60D7F0F5">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（2）教学条件：配备多媒体辅助课件，实践课在汽车机械基础实训室进行，配置机械零件仿真模型、虚拟拆装软件等教学设备。</w:t>
      </w:r>
    </w:p>
    <w:p w14:paraId="1AAFE38D">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采用现场教学法（结合实物讲解机械部件）、分组讨论法（针对机械系统问题进行分析）、直观演示法（通过模型或软件演示机械运动）、动手实践法（拆装或检测机械零件）、自主学习法和任务驱动法（以解决具体机械部件问题为任务）。</w:t>
      </w:r>
    </w:p>
    <w:p w14:paraId="102CCAFB">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（4）考核评价：过程考核占70%（包括课堂表现、实践操作、小组任务等）+综合考核占30%（包括理论考试、综合实践项目等）。</w:t>
      </w:r>
    </w:p>
    <w:p w14:paraId="20BCC5D0">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3.C语言程序设计</w:t>
      </w:r>
    </w:p>
    <w:p w14:paraId="2DD69AA3">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59B3B2F0">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C语言的基本语法、数据结构及程序设计方法，包括函数、指针、数组等核心内容；清晰分辨C语言在汽车不同控制系统（如发动机控制模块、新能源汽车电机控制系统等）中的编程特点与差异；深入了解汽车行业发展对程序设计的新需求，尤其是新能源汽车领域（如电池管理系统、整车控制系统等）中C语言编程技术的应用与变革。</w:t>
      </w:r>
    </w:p>
    <w:p w14:paraId="780A3D11">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C语言程序设计知识，为汽车相关控制系统编写简单的程序代码，解决汽车电子控制领域的基础问题；正确且熟练地使用C语言编程工具（如编译器、调试软件等）进行程序的编写、调试与运行。</w:t>
      </w:r>
    </w:p>
    <w:p w14:paraId="2E3F7AFE">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控制系统程序设计技术钻研的兴趣；培养良好的团队合作精神，在程序设计协作中有效沟通、协同完成任务；树立一定的社会责任感和职业道德，确保程序设计的安全性与可靠性。</w:t>
      </w:r>
    </w:p>
    <w:p w14:paraId="49C773B8">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084D0ABB">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C语言程序设计基础；（2）汽车控制系统中的C语言应用基础；（3）汽车传感器与执行器的程序控制；（4）发动机控制系统的C语言编程入门；（5）新能源汽车电机、电池管理系统的C语言程序设计专题；（6）汽车程序的调试与优化基础。</w:t>
      </w:r>
    </w:p>
    <w:p w14:paraId="22C7CAB4">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F3CB461">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（1）教师要求：熟悉C语言在汽车控制系统中的应用过程，具备扎实的C语言程序设计理论知识和汽车电子控制实践能力。</w:t>
      </w:r>
    </w:p>
    <w:p w14:paraId="4CBFF2E0">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（2）教学条件：多媒体辅助课件，实践课在计算机实训室，配置C语言编程软件、汽车电子控制仿真平台、虚拟编程实验系统。</w:t>
      </w:r>
    </w:p>
    <w:p w14:paraId="6AD0524C">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（3）教学方法：现场教学法、分组讨论法、代码演示法、动手编程实践法、自主学习法和任务驱动法（如以编写简单的电机控制程序为任务）。</w:t>
      </w:r>
    </w:p>
    <w:p w14:paraId="43398EFF">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（4）考核评价：过程考核占70%（包括课堂编程练习、小组编程任务、作业等）+综合考核占30%（包括期末编程综合项目、理论考试等）。</w:t>
      </w:r>
    </w:p>
    <w:p w14:paraId="3A199550">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4.单片机应用技术</w:t>
      </w:r>
    </w:p>
    <w:p w14:paraId="16FE56A7">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78EC1346">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单片机的基本构造、工作原理及编程方法，包括单片机的硬件组成、指令系统、接口技术等核心内容；清晰分辨单片机在传统燃油汽车与新能源汽车控制系统中的应用差异与联系；深入了解新能源汽车领域中单片机技术的新应用，如在电池管理系统、电机控制系统、车载终端等方面的具体应用及带来的技术变革。</w:t>
      </w:r>
    </w:p>
    <w:p w14:paraId="09FF395E">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单片机应用技术知识，准确分析并解决新能源汽车及传统汽车中基于单片机的控制系统在运行、维修、检测过程中涉及的一般问题；正确且熟练地使用各类单片机开发工具、仿真设备及调试仪器。</w:t>
      </w:r>
    </w:p>
    <w:p w14:paraId="431C2B4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单片机应用技术钻研的热情和创新意识；具有良好的团队合作精神，在技术研发与实践中能够有效沟通协作；具备一定的社会责任感和职业道德，确保技术应用的安全性与可靠性。</w:t>
      </w:r>
    </w:p>
    <w:p w14:paraId="5E5F4A18">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6E53F362">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单片机基础知识及总体认识；（2）单片机硬件结构与接口技术；（3）单片机程序设计基础；（4）单片机在传统汽车控制系统中的应用；（5）单片机在新能源汽车电池管理系统中的应用；（6）单片机在新能源汽车电机及整车控制系统中的应用专题。</w:t>
      </w:r>
    </w:p>
    <w:p w14:paraId="7D0AB479">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2F2CCCFD">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（1）教师要求：熟悉单片机在汽车各控制系统中的工作过程和应用原理，具备扎实的单片机理论知识和丰富的汽车单片机应用实践能力。</w:t>
      </w:r>
    </w:p>
    <w:p w14:paraId="1E5A7D7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（2）教学条件：多媒体辅助课件，实践课在单片机及汽车电子实训室进行，配置单片机开发板、仿真软件、汽车电子控制虚拟实验系统及相关调试设备。</w:t>
      </w:r>
    </w:p>
    <w:p w14:paraId="0788F56C">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（3）教学方法：现场教学法、分组讨论法、直观演示法、动手实践法、自主学习法和任务驱动法（如以开发简单的电机控制单片机程序为任务）。</w:t>
      </w:r>
    </w:p>
    <w:p w14:paraId="64737B0F">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46B2E301">
      <w:pPr>
        <w:keepNext w:val="0"/>
        <w:keepLines w:val="0"/>
        <w:pageBreakBefore w:val="0"/>
        <w:numPr>
          <w:ilvl w:val="0"/>
          <w:numId w:val="0"/>
        </w:numPr>
        <w:wordWrap/>
        <w:topLinePunct w:val="0"/>
        <w:bidi w:val="0"/>
        <w:adjustRightInd w:val="0"/>
        <w:snapToGrid w:val="0"/>
        <w:spacing w:line="400" w:lineRule="exact"/>
        <w:ind w:left="0" w:right="0" w:firstLine="421"/>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5.汽车电工电子技术</w:t>
      </w:r>
    </w:p>
    <w:p w14:paraId="3DDD54E6">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3FBD97AA">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电工电子技术的基本原理，包括电路基础、电子元件、电机与控制等核心内容；清晰分辨传统燃油汽车与新能源汽车在电工电子系统（如电源系统、控制系统等）上的构造差异与联系；深入了解新能源汽车领域中电工电子技术的新应用，如新型电机驱动技术、电池管理电子电路等在汽车构造方面带来的变革。</w:t>
      </w:r>
    </w:p>
    <w:p w14:paraId="0B91E4CA">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（2）能力目标：能够熟练运用汽车电工电子技术知识，准确分析并有效解决汽车维修、检测过程中涉及电工电子方面的一般问题；正确且熟练地使用各类电工电子测量工具和设备。</w:t>
      </w:r>
    </w:p>
    <w:p w14:paraId="66FAC603">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（3）素质目标：具备对新能源汽车电工电子技术钻研的热情；具有良好的团队合作精神，具备一定的社会责任感和职业道德。</w:t>
      </w:r>
    </w:p>
    <w:p w14:paraId="5DCB3475">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37266D5D">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（1）汽车电工电子技术总体认识；（2）汽车电路基础；（3）汽车电子元件与电路；（4）汽车电机与控制技术；（5）汽车电源系统与配电装置；（6）新能源汽车电工电子技术专题。</w:t>
      </w:r>
    </w:p>
    <w:p w14:paraId="05F432C6">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10B5570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（1）教师要求：熟悉汽车电工电子各系统的工作过程和电路连接关系，具备较强的汽车电工电子技术理论知识和实践能力。</w:t>
      </w:r>
    </w:p>
    <w:p w14:paraId="62DF3C3C">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（2）教学条件：多媒体辅助课件，实践课在汽车电工电子实训室，配置电路仿真软件、电子实验设备、虚拟实验室。</w:t>
      </w:r>
    </w:p>
    <w:p w14:paraId="6F7F5DD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7AB9E65A">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1A819F0F">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6.</w:t>
      </w:r>
      <w:r>
        <w:rPr>
          <w:rFonts w:hint="eastAsia" w:ascii="宋体" w:hAnsi="宋体" w:cs="宋体"/>
          <w:b/>
          <w:bCs w:val="0"/>
          <w:szCs w:val="21"/>
          <w:lang w:val="en-US" w:eastAsia="zh-CN"/>
        </w:rPr>
        <w:t>汽车构造</w:t>
      </w:r>
    </w:p>
    <w:p w14:paraId="2E645018">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38806C4E">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）知识目标：能够全面理解并熟练掌握汽车的基本构造，包括发动机、底盘、车身和电气系统等四大组成部分及其详细的工作原理</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清晰分辨传统燃油汽车与新能源汽车在构造上的差异与联系</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深入了解汽车行业的发展趋势，尤其是新能源汽车领域的新技术应用，如新型电池技术、电机控制系统等在汽车构造方面带来的变革</w:t>
      </w:r>
      <w:r>
        <w:rPr>
          <w:rFonts w:hint="eastAsia" w:cs="宋体"/>
          <w:b w:val="0"/>
          <w:bCs/>
          <w:kern w:val="2"/>
          <w:sz w:val="21"/>
          <w:szCs w:val="21"/>
          <w:lang w:val="en-US" w:eastAsia="zh-CN" w:bidi="ar-SA"/>
        </w:rPr>
        <w:t>。</w:t>
      </w:r>
    </w:p>
    <w:p w14:paraId="2C487127">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）能力目标：能够熟练运用所学的汽车构造理论知识，准确分析并有效解决汽车维修、检测过程中涉及构造方面的一般问题</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正确且熟练地使用各类汽车维修工具和设备。</w:t>
      </w:r>
    </w:p>
    <w:p w14:paraId="32010B97">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210" w:firstLineChars="1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）素质目标：具备对新能源汽车构造技术钻研的热情</w:t>
      </w:r>
      <w:r>
        <w:rPr>
          <w:rFonts w:hint="eastAsia" w:cs="宋体"/>
          <w:b w:val="0"/>
          <w:bCs/>
          <w:kern w:val="2"/>
          <w:sz w:val="21"/>
          <w:szCs w:val="21"/>
          <w:lang w:val="en-US" w:eastAsia="zh-CN" w:bidi="ar-SA"/>
        </w:rPr>
        <w:t>；具有良好的团队合作精神，具备一定的社会责任感和职业道德</w:t>
      </w:r>
      <w:r>
        <w:rPr>
          <w:rFonts w:hint="eastAsia" w:ascii="宋体" w:hAnsi="宋体" w:eastAsia="宋体" w:cs="宋体"/>
          <w:b w:val="0"/>
          <w:bCs/>
          <w:kern w:val="2"/>
          <w:sz w:val="21"/>
          <w:szCs w:val="21"/>
          <w:lang w:val="en-US" w:eastAsia="zh-CN" w:bidi="ar-SA"/>
        </w:rPr>
        <w:t>。</w:t>
      </w:r>
    </w:p>
    <w:p w14:paraId="5CA2FE27">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515C254C">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210" w:firstLineChars="1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（1）汽车总体认识；（2）发动机构造；（3）汽车底盘构造；（4）汽车车身构造</w:t>
      </w:r>
      <w:r>
        <w:rPr>
          <w:rFonts w:hint="eastAsia" w:cs="宋体"/>
          <w:b w:val="0"/>
          <w:bCs/>
          <w:kern w:val="2"/>
          <w:sz w:val="21"/>
          <w:szCs w:val="21"/>
          <w:lang w:val="en-US" w:eastAsia="zh-CN" w:bidi="ar-SA"/>
        </w:rPr>
        <w:t>；（5）汽车电气设备构造；（6）新能源汽车构造专题</w:t>
      </w:r>
      <w:r>
        <w:rPr>
          <w:rFonts w:hint="eastAsia" w:ascii="宋体" w:hAnsi="宋体" w:eastAsia="宋体" w:cs="宋体"/>
          <w:b w:val="0"/>
          <w:bCs/>
          <w:kern w:val="2"/>
          <w:sz w:val="21"/>
          <w:szCs w:val="21"/>
          <w:lang w:val="en-US" w:eastAsia="zh-CN" w:bidi="ar-SA"/>
        </w:rPr>
        <w:t>。</w:t>
      </w:r>
    </w:p>
    <w:p w14:paraId="748315BC">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5E353E9">
      <w:pPr>
        <w:keepNext w:val="0"/>
        <w:keepLines w:val="0"/>
        <w:pageBreakBefore w:val="0"/>
        <w:widowControl w:val="0"/>
        <w:numPr>
          <w:ilvl w:val="0"/>
          <w:numId w:val="5"/>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教师要求：熟悉汽车各部件的工作过程和装配关系，具备较强的汽车构造理论知识和</w:t>
      </w:r>
      <w:r>
        <w:rPr>
          <w:rFonts w:hint="eastAsia" w:ascii="宋体" w:hAnsi="宋体" w:cs="宋体"/>
          <w:b w:val="0"/>
          <w:bCs/>
          <w:kern w:val="2"/>
          <w:sz w:val="21"/>
          <w:szCs w:val="21"/>
          <w:lang w:val="en-US" w:eastAsia="zh-CN" w:bidi="ar-SA"/>
        </w:rPr>
        <w:t>汽车构造实践</w:t>
      </w:r>
      <w:r>
        <w:rPr>
          <w:rFonts w:hint="eastAsia" w:ascii="宋体" w:hAnsi="宋体" w:eastAsia="宋体" w:cs="宋体"/>
          <w:b w:val="0"/>
          <w:bCs/>
          <w:kern w:val="2"/>
          <w:sz w:val="21"/>
          <w:szCs w:val="21"/>
          <w:lang w:val="en-US" w:eastAsia="zh-CN" w:bidi="ar-SA"/>
        </w:rPr>
        <w:t>能力。</w:t>
      </w:r>
    </w:p>
    <w:p w14:paraId="6CB8C3A5">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（2）教学条件：多媒体辅助课件,实践课在汽车构造实训室，配置汽车构造仿真软件、虚拟实验室。</w:t>
      </w:r>
    </w:p>
    <w:p w14:paraId="53B91A13">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2DB1E5C9">
      <w:pPr>
        <w:keepNext w:val="0"/>
        <w:keepLines w:val="0"/>
        <w:pageBreakBefore w:val="0"/>
        <w:wordWrap/>
        <w:topLinePunct w:val="0"/>
        <w:bidi w:val="0"/>
        <w:adjustRightInd w:val="0"/>
        <w:snapToGrid w:val="0"/>
        <w:spacing w:line="400" w:lineRule="exact"/>
        <w:ind w:left="0" w:right="0" w:firstLine="420" w:firstLineChars="200"/>
        <w:rPr>
          <w:rFonts w:hint="default" w:ascii="宋体" w:hAnsi="宋体" w:eastAsia="宋体" w:cs="宋体"/>
          <w:bCs/>
          <w:szCs w:val="21"/>
          <w:lang w:val="en-US" w:eastAsia="zh-CN"/>
        </w:rPr>
      </w:pPr>
      <w:r>
        <w:rPr>
          <w:rFonts w:hint="eastAsia" w:ascii="宋体" w:hAnsi="宋体" w:eastAsia="宋体" w:cs="宋体"/>
          <w:b w:val="0"/>
          <w:bCs/>
          <w:kern w:val="2"/>
          <w:sz w:val="21"/>
          <w:szCs w:val="21"/>
          <w:lang w:val="en-US" w:eastAsia="zh-CN" w:bidi="ar-SA"/>
        </w:rPr>
        <w:t>（4）考核评价：过程考核占30%+综合考核占70%。</w:t>
      </w:r>
    </w:p>
    <w:p w14:paraId="2B361D3B">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7.新能源汽车电气技术</w:t>
      </w:r>
    </w:p>
    <w:p w14:paraId="2A03599B">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4691B2BE">
      <w:pPr>
        <w:pStyle w:val="22"/>
        <w:keepNext w:val="0"/>
        <w:keepLines w:val="0"/>
        <w:pageBreakBefore w:val="0"/>
        <w:widowControl w:val="0"/>
        <w:numPr>
          <w:ilvl w:val="0"/>
          <w:numId w:val="6"/>
        </w:numPr>
        <w:kinsoku/>
        <w:wordWrap/>
        <w:overflowPunct/>
        <w:topLinePunct w:val="0"/>
        <w:autoSpaceDE/>
        <w:autoSpaceDN/>
        <w:bidi w:val="0"/>
        <w:adjustRightInd/>
        <w:snapToGrid/>
        <w:spacing w:line="400" w:lineRule="exact"/>
        <w:ind w:right="0" w:firstLine="420" w:firstLineChars="200"/>
        <w:textAlignment w:val="auto"/>
        <w:rPr>
          <w:rFonts w:hint="eastAsia"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知识目标：能够系统且全面地掌握新能源汽车电气系统的基本组成架构，深入理解各组成部分，如电源系统、驱动系统、充电系统、电气控制与辅助系统等的工作原理，清晰区分不同类型新能源汽车（纯电动、混动、燃料电池汽车等）电气系统的差异与共性</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全面了解新能源汽车电气技术所涉及的各类电子元件的特性、功能与应用场景，掌握常见电路拓扑结构的特点与适用范围，熟悉各类电气系统的控制策略及其实现方式</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深刻熟悉新能源汽车电气系统在高压安全与防护方面的专业知识，包括高压部件的识别、高压电路的特点、高压安全操作规程等</w:t>
      </w:r>
      <w:r>
        <w:rPr>
          <w:rFonts w:hint="eastAsia" w:cs="宋体"/>
          <w:b w:val="0"/>
          <w:bCs/>
          <w:kern w:val="2"/>
          <w:sz w:val="21"/>
          <w:szCs w:val="21"/>
          <w:lang w:val="en-US" w:eastAsia="zh-CN" w:bidi="ar-SA"/>
        </w:rPr>
        <w:t>。</w:t>
      </w:r>
    </w:p>
    <w:p w14:paraId="7B0B5AD7">
      <w:pPr>
        <w:pStyle w:val="22"/>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）能力目标：具备熟练识读和精准分析新能源汽车电气系统各类电路图、原理图的能力，能够快速且准确地理解电气系统各部分之间的电气连接关系、信号传输路径和控制逻辑</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掌握新能源汽车电气设备的专业检测、诊断和高效维修技能，能够正确且熟练地使用各类专业工具和精密仪器，如万用表、示波器、故障诊断仪等，对电气系统进行全面的故障排查、定位与修复，确保新能源汽车电气系统的正常运行。</w:t>
      </w:r>
    </w:p>
    <w:p w14:paraId="12CD551D">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）素质目标：具备严谨认真的科学态度和诚实守信的良好职业道德</w:t>
      </w:r>
      <w:r>
        <w:rPr>
          <w:rFonts w:hint="eastAsia" w:cs="宋体"/>
          <w:b w:val="0"/>
          <w:bCs/>
          <w:kern w:val="2"/>
          <w:sz w:val="21"/>
          <w:szCs w:val="21"/>
          <w:lang w:val="en-US" w:eastAsia="zh-CN" w:bidi="ar-SA"/>
        </w:rPr>
        <w:t>；具有团队协作能力和有效沟通能力，具备创新意识和持续学习能力</w:t>
      </w:r>
      <w:r>
        <w:rPr>
          <w:rFonts w:hint="eastAsia" w:ascii="宋体" w:hAnsi="宋体" w:eastAsia="宋体" w:cs="宋体"/>
          <w:b w:val="0"/>
          <w:bCs/>
          <w:kern w:val="2"/>
          <w:sz w:val="21"/>
          <w:szCs w:val="21"/>
          <w:lang w:val="en-US" w:eastAsia="zh-CN" w:bidi="ar-SA"/>
        </w:rPr>
        <w:t>。</w:t>
      </w:r>
    </w:p>
    <w:p w14:paraId="73D6D170">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11E1A7D3">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（1）新能源汽车电气系统基础；（2）电源系统构造与原理；（3）驱动系统构造与原理；（4）电气控制系统构造与原理</w:t>
      </w:r>
      <w:r>
        <w:rPr>
          <w:rFonts w:hint="eastAsia" w:cs="宋体"/>
          <w:b w:val="0"/>
          <w:bCs/>
          <w:kern w:val="2"/>
          <w:sz w:val="21"/>
          <w:szCs w:val="21"/>
          <w:lang w:val="en-US" w:eastAsia="zh-CN" w:bidi="ar-SA"/>
        </w:rPr>
        <w:t>；（5）辅助电气系统构造与原理；（6）新能源汽车电气技术专题</w:t>
      </w:r>
      <w:r>
        <w:rPr>
          <w:rFonts w:hint="eastAsia" w:ascii="宋体" w:hAnsi="宋体" w:eastAsia="宋体" w:cs="宋体"/>
          <w:b w:val="0"/>
          <w:bCs/>
          <w:kern w:val="2"/>
          <w:sz w:val="21"/>
          <w:szCs w:val="21"/>
          <w:lang w:val="en-US" w:eastAsia="zh-CN" w:bidi="ar-SA"/>
        </w:rPr>
        <w:t>。</w:t>
      </w:r>
    </w:p>
    <w:p w14:paraId="07D8A365">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63B4C114">
      <w:pPr>
        <w:keepNext w:val="0"/>
        <w:keepLines w:val="0"/>
        <w:pageBreakBefore w:val="0"/>
        <w:widowControl w:val="0"/>
        <w:numPr>
          <w:ilvl w:val="0"/>
          <w:numId w:val="7"/>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教师要求：熟悉汽车电气系统各部件的工作过程、电路的运行状态以及控制策略，具备较强的汽车电气技术原理和</w:t>
      </w:r>
      <w:r>
        <w:rPr>
          <w:rFonts w:hint="eastAsia" w:ascii="宋体" w:hAnsi="宋体" w:cs="宋体"/>
          <w:b w:val="0"/>
          <w:bCs/>
          <w:kern w:val="2"/>
          <w:sz w:val="21"/>
          <w:szCs w:val="21"/>
          <w:lang w:val="en-US" w:eastAsia="zh-CN" w:bidi="ar-SA"/>
        </w:rPr>
        <w:t>汽车电气技术实训实践</w:t>
      </w:r>
      <w:r>
        <w:rPr>
          <w:rFonts w:hint="eastAsia" w:ascii="宋体" w:hAnsi="宋体" w:eastAsia="宋体" w:cs="宋体"/>
          <w:b w:val="0"/>
          <w:bCs/>
          <w:kern w:val="2"/>
          <w:sz w:val="21"/>
          <w:szCs w:val="21"/>
          <w:lang w:val="en-US" w:eastAsia="zh-CN" w:bidi="ar-SA"/>
        </w:rPr>
        <w:t>能力。</w:t>
      </w:r>
    </w:p>
    <w:p w14:paraId="71C3033E">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（2）教学条件：多媒体辅助课件,实践课在新能源汽车电气技术实训室，配置新能源汽车电气系统仿真软件、虚拟实验室。</w:t>
      </w:r>
    </w:p>
    <w:p w14:paraId="645AEA28">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w:t>
      </w:r>
      <w:r>
        <w:rPr>
          <w:rFonts w:hint="eastAsia" w:ascii="宋体" w:hAnsi="宋体" w:cs="宋体"/>
          <w:b w:val="0"/>
          <w:bCs/>
          <w:kern w:val="2"/>
          <w:sz w:val="21"/>
          <w:szCs w:val="21"/>
          <w:lang w:val="en-US" w:eastAsia="zh-CN" w:bidi="ar-SA"/>
        </w:rPr>
        <w:t>案例分析</w:t>
      </w:r>
      <w:r>
        <w:rPr>
          <w:rFonts w:hint="eastAsia" w:ascii="宋体" w:hAnsi="宋体" w:eastAsia="宋体" w:cs="宋体"/>
          <w:b w:val="0"/>
          <w:bCs/>
          <w:kern w:val="2"/>
          <w:sz w:val="21"/>
          <w:szCs w:val="21"/>
          <w:lang w:val="en-US" w:eastAsia="zh-CN" w:bidi="ar-SA"/>
        </w:rPr>
        <w:t>法、自主学习法和任务驱动法。</w:t>
      </w:r>
    </w:p>
    <w:p w14:paraId="62ABD786">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6962AB24">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8.新能源汽车电池及管理系统</w:t>
      </w:r>
    </w:p>
    <w:p w14:paraId="16F1285D">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0F6AD8E2">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能够系统且全面地掌握新能源汽车电池的基础理论知识，深入理解各类电池，如锂离子电池（包括三元锂电池、磷酸铁锂电池等）、镍氢电池、燃料电池等的工作原理、性能特点、结构组成以及化学特性，精准把握不同类型电池在不同应用场景下的优势与局限性，以及其在新能源汽车中的适用性和发展趋势</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熟悉新能源汽车电池及管理系统领域的前沿技术发展动态</w:t>
      </w:r>
      <w:r>
        <w:rPr>
          <w:rFonts w:hint="eastAsia" w:cs="宋体"/>
          <w:b w:val="0"/>
          <w:bCs/>
          <w:kern w:val="2"/>
          <w:sz w:val="21"/>
          <w:szCs w:val="21"/>
          <w:lang w:val="en-US" w:eastAsia="zh-CN" w:bidi="ar-SA"/>
        </w:rPr>
        <w:t>。</w:t>
      </w:r>
    </w:p>
    <w:p w14:paraId="63CA760B">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）能力目标：具备熟练掌握新能源汽车电池及管理系统的专业检测技能，能够正确且精准地使用各类专业检测工具和仪器设备</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具备新能源汽车电池及管理系统的故障诊断与维修能力。</w:t>
      </w:r>
    </w:p>
    <w:p w14:paraId="7B3BB3CE">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）素质目标：具备严谨认真的科学态度和诚实守信的良好职业道德</w:t>
      </w:r>
      <w:r>
        <w:rPr>
          <w:rFonts w:hint="eastAsia" w:cs="宋体"/>
          <w:b w:val="0"/>
          <w:bCs/>
          <w:kern w:val="2"/>
          <w:sz w:val="21"/>
          <w:szCs w:val="21"/>
          <w:lang w:val="en-US" w:eastAsia="zh-CN" w:bidi="ar-SA"/>
        </w:rPr>
        <w:t>；具有团队协作能力和沟通交流能力，具备创新意识和自主学习能力</w:t>
      </w:r>
      <w:r>
        <w:rPr>
          <w:rFonts w:hint="eastAsia" w:ascii="宋体" w:hAnsi="宋体" w:eastAsia="宋体" w:cs="宋体"/>
          <w:b w:val="0"/>
          <w:bCs/>
          <w:kern w:val="2"/>
          <w:sz w:val="21"/>
          <w:szCs w:val="21"/>
          <w:lang w:val="en-US" w:eastAsia="zh-CN" w:bidi="ar-SA"/>
        </w:rPr>
        <w:t>。</w:t>
      </w:r>
    </w:p>
    <w:p w14:paraId="28D3EA7C">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790FDBFA">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（1）新能源汽车电池基础；（2）电池管理系统（BMS）基础；（3）电池状态监测与估算；（4）电池均衡管理</w:t>
      </w:r>
      <w:r>
        <w:rPr>
          <w:rFonts w:hint="eastAsia" w:cs="宋体"/>
          <w:b w:val="0"/>
          <w:bCs/>
          <w:kern w:val="2"/>
          <w:sz w:val="21"/>
          <w:szCs w:val="21"/>
          <w:lang w:val="en-US" w:eastAsia="zh-CN" w:bidi="ar-SA"/>
        </w:rPr>
        <w:t>；（5）电池热管理系统；（6）电池充放电控制与安全保护；（7）新能源汽车电池及管理系统的应用与发展</w:t>
      </w:r>
      <w:r>
        <w:rPr>
          <w:rFonts w:hint="eastAsia" w:ascii="宋体" w:hAnsi="宋体" w:eastAsia="宋体" w:cs="宋体"/>
          <w:b w:val="0"/>
          <w:bCs/>
          <w:kern w:val="2"/>
          <w:sz w:val="21"/>
          <w:szCs w:val="21"/>
          <w:lang w:val="en-US" w:eastAsia="zh-CN" w:bidi="ar-SA"/>
        </w:rPr>
        <w:t>。</w:t>
      </w:r>
    </w:p>
    <w:p w14:paraId="7F2B8352">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18AD584A">
      <w:pPr>
        <w:keepNext w:val="0"/>
        <w:keepLines w:val="0"/>
        <w:pageBreakBefore w:val="0"/>
        <w:widowControl w:val="0"/>
        <w:numPr>
          <w:ilvl w:val="0"/>
          <w:numId w:val="8"/>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教师要求：熟悉电池的充放电过程、BMS的工作原理、热管理系统的运行机制，具备较强的汽车</w:t>
      </w:r>
      <w:r>
        <w:rPr>
          <w:rFonts w:hint="eastAsia" w:ascii="宋体" w:hAnsi="宋体" w:cs="宋体"/>
          <w:b w:val="0"/>
          <w:bCs/>
          <w:kern w:val="2"/>
          <w:sz w:val="21"/>
          <w:szCs w:val="21"/>
          <w:lang w:val="en-US" w:eastAsia="zh-CN" w:bidi="ar-SA"/>
        </w:rPr>
        <w:t>电池理论知识</w:t>
      </w:r>
      <w:r>
        <w:rPr>
          <w:rFonts w:hint="eastAsia" w:ascii="宋体" w:hAnsi="宋体" w:eastAsia="宋体" w:cs="宋体"/>
          <w:b w:val="0"/>
          <w:bCs/>
          <w:kern w:val="2"/>
          <w:sz w:val="21"/>
          <w:szCs w:val="21"/>
          <w:lang w:val="en-US" w:eastAsia="zh-CN" w:bidi="ar-SA"/>
        </w:rPr>
        <w:t>和</w:t>
      </w:r>
      <w:r>
        <w:rPr>
          <w:rFonts w:hint="eastAsia" w:ascii="宋体" w:hAnsi="宋体" w:cs="宋体"/>
          <w:b w:val="0"/>
          <w:bCs/>
          <w:kern w:val="2"/>
          <w:sz w:val="21"/>
          <w:szCs w:val="21"/>
          <w:lang w:val="en-US" w:eastAsia="zh-CN" w:bidi="ar-SA"/>
        </w:rPr>
        <w:t>汽车电池及管理系统实训实践</w:t>
      </w:r>
      <w:r>
        <w:rPr>
          <w:rFonts w:hint="eastAsia" w:ascii="宋体" w:hAnsi="宋体" w:eastAsia="宋体" w:cs="宋体"/>
          <w:b w:val="0"/>
          <w:bCs/>
          <w:kern w:val="2"/>
          <w:sz w:val="21"/>
          <w:szCs w:val="21"/>
          <w:lang w:val="en-US" w:eastAsia="zh-CN" w:bidi="ar-SA"/>
        </w:rPr>
        <w:t>能力。</w:t>
      </w:r>
    </w:p>
    <w:p w14:paraId="12DF460D">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（2）教学条件：多媒体辅助课件,实践课在新能源汽车电池及管理系统实训室，配置新能源汽车电池及管理系统仿真软件、虚拟实验室。</w:t>
      </w:r>
    </w:p>
    <w:p w14:paraId="32197D5B">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w:t>
      </w:r>
      <w:r>
        <w:rPr>
          <w:rFonts w:hint="eastAsia" w:ascii="宋体" w:hAnsi="宋体" w:cs="宋体"/>
          <w:b w:val="0"/>
          <w:bCs/>
          <w:kern w:val="2"/>
          <w:sz w:val="21"/>
          <w:szCs w:val="21"/>
          <w:lang w:val="en-US" w:eastAsia="zh-CN" w:bidi="ar-SA"/>
        </w:rPr>
        <w:t>案例分析</w:t>
      </w:r>
      <w:r>
        <w:rPr>
          <w:rFonts w:hint="eastAsia" w:ascii="宋体" w:hAnsi="宋体" w:eastAsia="宋体" w:cs="宋体"/>
          <w:b w:val="0"/>
          <w:bCs/>
          <w:kern w:val="2"/>
          <w:sz w:val="21"/>
          <w:szCs w:val="21"/>
          <w:lang w:val="en-US" w:eastAsia="zh-CN" w:bidi="ar-SA"/>
        </w:rPr>
        <w:t>法、自主学习法和</w:t>
      </w:r>
      <w:r>
        <w:rPr>
          <w:rFonts w:hint="eastAsia" w:ascii="宋体" w:hAnsi="宋体" w:cs="宋体"/>
          <w:b w:val="0"/>
          <w:bCs/>
          <w:kern w:val="2"/>
          <w:sz w:val="21"/>
          <w:szCs w:val="21"/>
          <w:lang w:val="en-US" w:eastAsia="zh-CN" w:bidi="ar-SA"/>
        </w:rPr>
        <w:t>启发式教学</w:t>
      </w:r>
      <w:r>
        <w:rPr>
          <w:rFonts w:hint="eastAsia" w:ascii="宋体" w:hAnsi="宋体" w:eastAsia="宋体" w:cs="宋体"/>
          <w:b w:val="0"/>
          <w:bCs/>
          <w:kern w:val="2"/>
          <w:sz w:val="21"/>
          <w:szCs w:val="21"/>
          <w:lang w:val="en-US" w:eastAsia="zh-CN" w:bidi="ar-SA"/>
        </w:rPr>
        <w:t>法。</w:t>
      </w:r>
    </w:p>
    <w:p w14:paraId="328BF208">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Cs/>
          <w:szCs w:val="21"/>
          <w:lang w:val="en-US" w:eastAsia="zh-CN"/>
        </w:rPr>
      </w:pPr>
      <w:r>
        <w:rPr>
          <w:rFonts w:hint="eastAsia" w:ascii="宋体" w:hAnsi="宋体" w:eastAsia="宋体" w:cs="宋体"/>
          <w:b w:val="0"/>
          <w:bCs/>
          <w:kern w:val="2"/>
          <w:sz w:val="21"/>
          <w:szCs w:val="21"/>
          <w:lang w:val="en-US" w:eastAsia="zh-CN" w:bidi="ar-SA"/>
        </w:rPr>
        <w:t>（4）考核评价：过程考核占30%+综合考核占70%。</w:t>
      </w:r>
    </w:p>
    <w:p w14:paraId="324BE4CA">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9.新能源汽车驱动电机及控制技术</w:t>
      </w:r>
    </w:p>
    <w:p w14:paraId="73A79C00">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7D1304A4">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）知识目标：能够了解新能源汽车驱动电机及控制系统的基础知识，包含电机的基本原理、作用以及在新能源汽车中的重要地位等</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熟知新能源汽车驱动电机及控制系统的分类与构成，如直流电机、交流感应电机、永磁同步电机等不同类型电机的特点，以及控制系统中功率电子装置、控制算法、传感器等各部分的组成</w:t>
      </w:r>
      <w:r>
        <w:rPr>
          <w:rFonts w:hint="eastAsia" w:cs="宋体"/>
          <w:b w:val="0"/>
          <w:bCs/>
          <w:kern w:val="2"/>
          <w:sz w:val="21"/>
          <w:szCs w:val="21"/>
          <w:lang w:val="en-US" w:eastAsia="zh-CN" w:bidi="ar-SA"/>
        </w:rPr>
        <w:t>；掌握新能源汽车混合动力变速器/传动桥的总成装配与调试技术，了解混合动力变速器/传动桥的结构特点，学会进行总成装配与调试操作。</w:t>
      </w:r>
    </w:p>
    <w:p w14:paraId="65BF47EB">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）能力目标：能够正确识读新能源汽车控制系统常用电气系统构成及型号</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熟练掌握新能源汽车驱动电机及控制系统常用电气性能测试工具的使用</w:t>
      </w:r>
      <w:r>
        <w:rPr>
          <w:rFonts w:hint="eastAsia" w:cs="宋体"/>
          <w:b w:val="0"/>
          <w:bCs/>
          <w:kern w:val="2"/>
          <w:sz w:val="21"/>
          <w:szCs w:val="21"/>
          <w:lang w:val="en-US" w:eastAsia="zh-CN" w:bidi="ar-SA"/>
        </w:rPr>
        <w:t>；能够对新能源汽车驱动电机及控制系统性能进行常规检测和维修，依据检测结果分析故障原因，并采取相应维修措施</w:t>
      </w:r>
      <w:r>
        <w:rPr>
          <w:rFonts w:hint="eastAsia" w:ascii="宋体" w:hAnsi="宋体" w:eastAsia="宋体" w:cs="宋体"/>
          <w:b w:val="0"/>
          <w:bCs/>
          <w:kern w:val="2"/>
          <w:sz w:val="21"/>
          <w:szCs w:val="21"/>
          <w:lang w:val="en-US" w:eastAsia="zh-CN" w:bidi="ar-SA"/>
        </w:rPr>
        <w:t>。</w:t>
      </w:r>
    </w:p>
    <w:p w14:paraId="7BA09105">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）素质目标：具备良好的协调沟通能力、团队合作及爱国意识，在团队项目中能够与他人有效沟通、协作，同时通过对我国新能源汽车发展成就的学习，增强爱国情怀</w:t>
      </w:r>
      <w:r>
        <w:rPr>
          <w:rFonts w:hint="eastAsia" w:cs="宋体"/>
          <w:b w:val="0"/>
          <w:bCs/>
          <w:kern w:val="2"/>
          <w:sz w:val="21"/>
          <w:szCs w:val="21"/>
          <w:lang w:val="en-US" w:eastAsia="zh-CN" w:bidi="ar-SA"/>
        </w:rPr>
        <w:t>；具有严谨、全面、高效、负责的职业精神，对待工作认真负责，追求高效优质的工作成果</w:t>
      </w:r>
      <w:r>
        <w:rPr>
          <w:rFonts w:hint="eastAsia" w:ascii="宋体" w:hAnsi="宋体" w:eastAsia="宋体" w:cs="宋体"/>
          <w:b w:val="0"/>
          <w:bCs/>
          <w:kern w:val="2"/>
          <w:sz w:val="21"/>
          <w:szCs w:val="21"/>
          <w:lang w:val="en-US" w:eastAsia="zh-CN" w:bidi="ar-SA"/>
        </w:rPr>
        <w:t>。</w:t>
      </w:r>
    </w:p>
    <w:p w14:paraId="4CEFD159">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14B4FE2A">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（1）新能源汽车驱动电机基础知识；（2）新能源汽车驱动电机结构与工作过程；（3）新能源汽车驱动电机控制系统；（4）新能源汽车驱动电机的控制技术</w:t>
      </w:r>
      <w:r>
        <w:rPr>
          <w:rFonts w:hint="eastAsia" w:cs="宋体"/>
          <w:b w:val="0"/>
          <w:bCs/>
          <w:kern w:val="2"/>
          <w:sz w:val="21"/>
          <w:szCs w:val="21"/>
          <w:lang w:val="en-US" w:eastAsia="zh-CN" w:bidi="ar-SA"/>
        </w:rPr>
        <w:t>；（5）新能源汽车驱动电机及控制系统的故障诊断与维修；（6）新能源汽车驱动电机及控制系统的发展趋势</w:t>
      </w:r>
      <w:r>
        <w:rPr>
          <w:rFonts w:hint="eastAsia" w:ascii="宋体" w:hAnsi="宋体" w:eastAsia="宋体" w:cs="宋体"/>
          <w:b w:val="0"/>
          <w:bCs/>
          <w:kern w:val="2"/>
          <w:sz w:val="21"/>
          <w:szCs w:val="21"/>
          <w:lang w:val="en-US" w:eastAsia="zh-CN" w:bidi="ar-SA"/>
        </w:rPr>
        <w:t>。</w:t>
      </w:r>
    </w:p>
    <w:p w14:paraId="4D7AD581">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20ACDE6E">
      <w:pPr>
        <w:keepNext w:val="0"/>
        <w:keepLines w:val="0"/>
        <w:pageBreakBefore w:val="0"/>
        <w:widowControl w:val="0"/>
        <w:numPr>
          <w:ilvl w:val="0"/>
          <w:numId w:val="9"/>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教师要求：熟悉电机及控制系统的结构、工作原理和控制过程，具备较强的新能源汽车驱动电机及控制系统理论知</w:t>
      </w:r>
      <w:r>
        <w:rPr>
          <w:rFonts w:hint="eastAsia" w:ascii="宋体" w:hAnsi="宋体" w:cs="宋体"/>
          <w:b w:val="0"/>
          <w:bCs/>
          <w:kern w:val="2"/>
          <w:sz w:val="21"/>
          <w:szCs w:val="21"/>
          <w:lang w:val="en-US" w:eastAsia="zh-CN" w:bidi="ar-SA"/>
        </w:rPr>
        <w:t>识</w:t>
      </w:r>
      <w:r>
        <w:rPr>
          <w:rFonts w:hint="eastAsia" w:ascii="宋体" w:hAnsi="宋体" w:eastAsia="宋体" w:cs="宋体"/>
          <w:b w:val="0"/>
          <w:bCs/>
          <w:kern w:val="2"/>
          <w:sz w:val="21"/>
          <w:szCs w:val="21"/>
          <w:lang w:val="en-US" w:eastAsia="zh-CN" w:bidi="ar-SA"/>
        </w:rPr>
        <w:t>和</w:t>
      </w:r>
      <w:r>
        <w:rPr>
          <w:rFonts w:hint="eastAsia" w:ascii="宋体" w:hAnsi="宋体" w:cs="宋体"/>
          <w:b w:val="0"/>
          <w:bCs/>
          <w:kern w:val="2"/>
          <w:sz w:val="21"/>
          <w:szCs w:val="21"/>
          <w:lang w:val="en-US" w:eastAsia="zh-CN" w:bidi="ar-SA"/>
        </w:rPr>
        <w:t>电机及控制系统的拆装、调试、性能测试、故障诊断与维修实践</w:t>
      </w:r>
      <w:r>
        <w:rPr>
          <w:rFonts w:hint="eastAsia" w:ascii="宋体" w:hAnsi="宋体" w:eastAsia="宋体" w:cs="宋体"/>
          <w:b w:val="0"/>
          <w:bCs/>
          <w:kern w:val="2"/>
          <w:sz w:val="21"/>
          <w:szCs w:val="21"/>
          <w:lang w:val="en-US" w:eastAsia="zh-CN" w:bidi="ar-SA"/>
        </w:rPr>
        <w:t>能力。</w:t>
      </w:r>
    </w:p>
    <w:p w14:paraId="7FAE0158">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（2）教学条件：多媒体辅助课件,实践课在新能源汽车驱动电机实训室，配置新能源汽车驱动电机仿真软件、虚拟实验室。</w:t>
      </w:r>
    </w:p>
    <w:p w14:paraId="4F49D9E3">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w:t>
      </w:r>
      <w:r>
        <w:rPr>
          <w:rFonts w:hint="eastAsia" w:ascii="宋体" w:hAnsi="宋体" w:cs="宋体"/>
          <w:b w:val="0"/>
          <w:bCs/>
          <w:kern w:val="2"/>
          <w:sz w:val="21"/>
          <w:szCs w:val="21"/>
          <w:lang w:val="en-US" w:eastAsia="zh-CN" w:bidi="ar-SA"/>
        </w:rPr>
        <w:t>案例分析</w:t>
      </w:r>
      <w:r>
        <w:rPr>
          <w:rFonts w:hint="eastAsia" w:ascii="宋体" w:hAnsi="宋体" w:eastAsia="宋体" w:cs="宋体"/>
          <w:b w:val="0"/>
          <w:bCs/>
          <w:kern w:val="2"/>
          <w:sz w:val="21"/>
          <w:szCs w:val="21"/>
          <w:lang w:val="en-US" w:eastAsia="zh-CN" w:bidi="ar-SA"/>
        </w:rPr>
        <w:t>法、自主学习法。</w:t>
      </w:r>
    </w:p>
    <w:p w14:paraId="0B5A14DB">
      <w:pPr>
        <w:keepNext w:val="0"/>
        <w:keepLines w:val="0"/>
        <w:pageBreakBefore w:val="0"/>
        <w:wordWrap/>
        <w:topLinePunct w:val="0"/>
        <w:bidi w:val="0"/>
        <w:adjustRightInd w:val="0"/>
        <w:snapToGrid w:val="0"/>
        <w:spacing w:line="400" w:lineRule="exact"/>
        <w:ind w:left="0" w:right="0" w:firstLine="420" w:firstLineChars="200"/>
        <w:rPr>
          <w:rFonts w:hint="default"/>
          <w:color w:val="000000" w:themeColor="text1"/>
          <w:spacing w:val="-4"/>
          <w:lang w:val="en-US" w:eastAsia="zh-CN"/>
          <w14:textFill>
            <w14:solidFill>
              <w14:schemeClr w14:val="tx1"/>
            </w14:solidFill>
          </w14:textFill>
        </w:rPr>
      </w:pPr>
      <w:r>
        <w:rPr>
          <w:rFonts w:hint="eastAsia" w:ascii="宋体" w:hAnsi="宋体" w:eastAsia="宋体" w:cs="宋体"/>
          <w:b w:val="0"/>
          <w:bCs/>
          <w:kern w:val="2"/>
          <w:sz w:val="21"/>
          <w:szCs w:val="21"/>
          <w:lang w:val="en-US" w:eastAsia="zh-CN" w:bidi="ar-SA"/>
        </w:rPr>
        <w:t>（4）考核评价：过程考核占30%+综合考核占70%。</w:t>
      </w:r>
    </w:p>
    <w:p w14:paraId="4C8261A9">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10.新能源汽车综合性能检测与故障诊断</w:t>
      </w:r>
    </w:p>
    <w:p w14:paraId="4BF5F6E1">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0D1AB34E">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能够掌握新能源汽车的基本构造、工作原理以及各系统的功能，包括动力系统（如动力电池、驱动电机）、电控系统（整车控制器、电机控制器等）、充电系统、底盘系统和车身电气系统等，清晰了解各系统之间的相互关系和协同工作机制</w:t>
      </w:r>
      <w:r>
        <w:rPr>
          <w:rFonts w:hint="eastAsia" w:cs="宋体"/>
          <w:b w:val="0"/>
          <w:bCs/>
          <w:kern w:val="2"/>
          <w:sz w:val="21"/>
          <w:szCs w:val="21"/>
          <w:lang w:val="en-US" w:eastAsia="zh-CN" w:bidi="ar-SA"/>
        </w:rPr>
        <w:t>；了解新能源汽车检测与故障诊断相关设备和工具的工作原理和使用方法。</w:t>
      </w:r>
    </w:p>
    <w:p w14:paraId="03DB3D19">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）能力目标：能够熟练运用各种检测设备和工具，按照标准流程对新能源汽车的综合性能进行全面、准确的检测</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能够严格遵守新能源汽车检测与维修的安全操作规程，正确使用个人防护装备。</w:t>
      </w:r>
    </w:p>
    <w:p w14:paraId="5AB3784D">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）素质目标：具备严谨认真、科学细致的工作态度</w:t>
      </w:r>
      <w:r>
        <w:rPr>
          <w:rFonts w:hint="eastAsia" w:cs="宋体"/>
          <w:b w:val="0"/>
          <w:bCs/>
          <w:kern w:val="2"/>
          <w:sz w:val="21"/>
          <w:szCs w:val="21"/>
          <w:lang w:val="en-US" w:eastAsia="zh-CN" w:bidi="ar-SA"/>
        </w:rPr>
        <w:t>；具有良好的职业素养和职业道德；具备终身学习能力和自我提升意识</w:t>
      </w:r>
      <w:r>
        <w:rPr>
          <w:rFonts w:hint="eastAsia" w:ascii="宋体" w:hAnsi="宋体" w:eastAsia="宋体" w:cs="宋体"/>
          <w:b w:val="0"/>
          <w:bCs/>
          <w:kern w:val="2"/>
          <w:sz w:val="21"/>
          <w:szCs w:val="21"/>
          <w:lang w:val="en-US" w:eastAsia="zh-CN" w:bidi="ar-SA"/>
        </w:rPr>
        <w:t>。</w:t>
      </w:r>
    </w:p>
    <w:p w14:paraId="4EA71DEC">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4ABCF3E3">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（1）新能源汽车基础知识；（2）新能源汽车综合性能检测；（3）新能源汽车故障诊断基础</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（4）新能源汽车各系统故障诊断与维修</w:t>
      </w:r>
      <w:r>
        <w:rPr>
          <w:rFonts w:hint="eastAsia" w:cs="宋体"/>
          <w:b w:val="0"/>
          <w:bCs/>
          <w:kern w:val="2"/>
          <w:sz w:val="21"/>
          <w:szCs w:val="21"/>
          <w:lang w:val="en-US" w:eastAsia="zh-CN" w:bidi="ar-SA"/>
        </w:rPr>
        <w:t>；（5）新能源汽车故障诊断案例分析；（6）新能源汽车检测与故障诊断新技术</w:t>
      </w:r>
      <w:r>
        <w:rPr>
          <w:rFonts w:hint="eastAsia" w:ascii="宋体" w:hAnsi="宋体" w:eastAsia="宋体" w:cs="宋体"/>
          <w:b w:val="0"/>
          <w:bCs/>
          <w:kern w:val="2"/>
          <w:sz w:val="21"/>
          <w:szCs w:val="21"/>
          <w:lang w:val="en-US" w:eastAsia="zh-CN" w:bidi="ar-SA"/>
        </w:rPr>
        <w:t>。</w:t>
      </w:r>
    </w:p>
    <w:p w14:paraId="7FAF7991">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20643309">
      <w:pPr>
        <w:keepNext w:val="0"/>
        <w:keepLines w:val="0"/>
        <w:pageBreakBefore w:val="0"/>
        <w:widowControl w:val="0"/>
        <w:numPr>
          <w:ilvl w:val="0"/>
          <w:numId w:val="10"/>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教师要求：熟悉新能源汽车的结构、工作原理、检测过程和故障诊断方法，具备新能源汽车在综合性能检测和故障诊断方面的实际应用情况</w:t>
      </w:r>
      <w:r>
        <w:rPr>
          <w:rFonts w:hint="eastAsia" w:ascii="宋体" w:hAnsi="宋体" w:cs="宋体"/>
          <w:b w:val="0"/>
          <w:bCs/>
          <w:kern w:val="2"/>
          <w:sz w:val="21"/>
          <w:szCs w:val="21"/>
          <w:lang w:val="en-US" w:eastAsia="zh-CN" w:bidi="ar-SA"/>
        </w:rPr>
        <w:t>与维修实践</w:t>
      </w:r>
      <w:r>
        <w:rPr>
          <w:rFonts w:hint="eastAsia" w:ascii="宋体" w:hAnsi="宋体" w:eastAsia="宋体" w:cs="宋体"/>
          <w:b w:val="0"/>
          <w:bCs/>
          <w:kern w:val="2"/>
          <w:sz w:val="21"/>
          <w:szCs w:val="21"/>
          <w:lang w:val="en-US" w:eastAsia="zh-CN" w:bidi="ar-SA"/>
        </w:rPr>
        <w:t>能力。</w:t>
      </w:r>
    </w:p>
    <w:p w14:paraId="52F3DE07">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（2）教学条件：多媒体辅助课件,实践课在新能源汽车在综合性能检测实训室，配置新能源汽车综合性能检测仿真软件、虚拟实验室。</w:t>
      </w:r>
    </w:p>
    <w:p w14:paraId="6110D5E9">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w:t>
      </w:r>
      <w:r>
        <w:rPr>
          <w:rFonts w:hint="eastAsia" w:ascii="宋体" w:hAnsi="宋体" w:cs="宋体"/>
          <w:b w:val="0"/>
          <w:bCs/>
          <w:kern w:val="2"/>
          <w:sz w:val="21"/>
          <w:szCs w:val="21"/>
          <w:lang w:val="en-US" w:eastAsia="zh-CN" w:bidi="ar-SA"/>
        </w:rPr>
        <w:t>案例分析</w:t>
      </w:r>
      <w:r>
        <w:rPr>
          <w:rFonts w:hint="eastAsia" w:ascii="宋体" w:hAnsi="宋体" w:eastAsia="宋体" w:cs="宋体"/>
          <w:b w:val="0"/>
          <w:bCs/>
          <w:kern w:val="2"/>
          <w:sz w:val="21"/>
          <w:szCs w:val="21"/>
          <w:lang w:val="en-US" w:eastAsia="zh-CN" w:bidi="ar-SA"/>
        </w:rPr>
        <w:t>法、自主学习法。</w:t>
      </w:r>
    </w:p>
    <w:p w14:paraId="43F4F101">
      <w:pPr>
        <w:keepNext w:val="0"/>
        <w:keepLines w:val="0"/>
        <w:pageBreakBefore w:val="0"/>
        <w:wordWrap/>
        <w:topLinePunct w:val="0"/>
        <w:bidi w:val="0"/>
        <w:adjustRightInd w:val="0"/>
        <w:snapToGrid w:val="0"/>
        <w:spacing w:line="400" w:lineRule="exact"/>
        <w:ind w:left="0" w:right="0" w:firstLine="420" w:firstLineChars="200"/>
        <w:rPr>
          <w:rFonts w:hint="default"/>
          <w:color w:val="000000" w:themeColor="text1"/>
          <w:spacing w:val="-3"/>
          <w:lang w:val="en-US" w:eastAsia="zh-CN"/>
          <w14:textFill>
            <w14:solidFill>
              <w14:schemeClr w14:val="tx1"/>
            </w14:solidFill>
          </w14:textFill>
        </w:rPr>
      </w:pPr>
      <w:r>
        <w:rPr>
          <w:rFonts w:hint="eastAsia" w:ascii="宋体" w:hAnsi="宋体" w:eastAsia="宋体" w:cs="宋体"/>
          <w:b w:val="0"/>
          <w:bCs/>
          <w:kern w:val="2"/>
          <w:sz w:val="21"/>
          <w:szCs w:val="21"/>
          <w:lang w:val="en-US" w:eastAsia="zh-CN" w:bidi="ar-SA"/>
        </w:rPr>
        <w:t>（4）考核评价：过程考核占30%+综合考核占70%。</w:t>
      </w:r>
    </w:p>
    <w:p w14:paraId="1BE35C7F">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11.新能源汽车整车控制技术</w:t>
      </w:r>
    </w:p>
    <w:p w14:paraId="7928AD3D">
      <w:pPr>
        <w:pStyle w:val="22"/>
        <w:keepNext w:val="0"/>
        <w:keepLines w:val="0"/>
        <w:pageBreakBefore w:val="0"/>
        <w:widowControl w:val="0"/>
        <w:kinsoku/>
        <w:wordWrap/>
        <w:overflowPunct/>
        <w:topLinePunct w:val="0"/>
        <w:autoSpaceDE/>
        <w:autoSpaceDN/>
        <w:bidi w:val="0"/>
        <w:adjustRightInd/>
        <w:snapToGrid/>
        <w:spacing w:line="400" w:lineRule="exact"/>
        <w:ind w:left="0" w:right="0" w:firstLine="422" w:firstLineChars="200"/>
        <w:textAlignment w:val="auto"/>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课程目标：</w:t>
      </w:r>
    </w:p>
    <w:p w14:paraId="46E95A0F">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1</w:t>
      </w:r>
      <w:r>
        <w:rPr>
          <w:rFonts w:hint="eastAsia" w:ascii="宋体" w:hAnsi="宋体" w:eastAsia="宋体" w:cs="宋体"/>
          <w:b w:val="0"/>
          <w:bCs/>
          <w:kern w:val="2"/>
          <w:sz w:val="21"/>
          <w:szCs w:val="21"/>
          <w:lang w:val="en-US" w:eastAsia="zh-CN" w:bidi="ar-SA"/>
        </w:rPr>
        <w:t>）知识目标：能够全面理解新能源汽车整车控制系统的架构与组成，包括整车控制器（VCU）、电机控制器（MCU）、电池管理系统（BMS）以及各类传感器和执行器等部件的功能与作用，深入掌握各部件之间的通信方式与数据交互机制</w:t>
      </w:r>
      <w:r>
        <w:rPr>
          <w:rFonts w:hint="eastAsia" w:cs="宋体"/>
          <w:b w:val="0"/>
          <w:bCs/>
          <w:kern w:val="2"/>
          <w:sz w:val="21"/>
          <w:szCs w:val="21"/>
          <w:lang w:val="en-US" w:eastAsia="zh-CN" w:bidi="ar-SA"/>
        </w:rPr>
        <w:t>；了解新能源汽车整车控制技术的发展趋势，包括智能网联技术在整车控制中的应用（如车辆与车辆、车辆与基础设施、车辆与人之间的信息交互对整车控制带来的变革）、新型控制算法和技术的研究进展（如基于人工智能、大数据分析的整车控制策略）等，拓宽学生的技术视野。</w:t>
      </w:r>
    </w:p>
    <w:p w14:paraId="13E85DD7">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2</w:t>
      </w:r>
      <w:r>
        <w:rPr>
          <w:rFonts w:hint="eastAsia" w:ascii="宋体" w:hAnsi="宋体" w:eastAsia="宋体" w:cs="宋体"/>
          <w:b w:val="0"/>
          <w:bCs/>
          <w:kern w:val="2"/>
          <w:sz w:val="21"/>
          <w:szCs w:val="21"/>
          <w:lang w:val="en-US" w:eastAsia="zh-CN" w:bidi="ar-SA"/>
        </w:rPr>
        <w:t>）能力目标：能够熟练识读新能源汽车整车控制系统的电路原理图和线束布置图，准确分析电路连接关系和信号传输路径，具备根据电路图进行电路故障排查和修复的能力</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能够运用专业工具和软件，对新能源汽车整车控制系统进行参数测量与调试</w:t>
      </w:r>
      <w:r>
        <w:rPr>
          <w:rFonts w:hint="eastAsia" w:cs="宋体"/>
          <w:b w:val="0"/>
          <w:bCs/>
          <w:kern w:val="2"/>
          <w:sz w:val="21"/>
          <w:szCs w:val="21"/>
          <w:lang w:val="en-US" w:eastAsia="zh-CN" w:bidi="ar-SA"/>
        </w:rPr>
        <w:t>；能够跟踪新能源汽车整车控制技术的最新发展动态，自主学习和掌握新的知识和技能，不断提升自身的专业水平，具备较强的自主学习和技术创新能力</w:t>
      </w:r>
      <w:r>
        <w:rPr>
          <w:rFonts w:hint="eastAsia" w:ascii="宋体" w:hAnsi="宋体" w:eastAsia="宋体" w:cs="宋体"/>
          <w:b w:val="0"/>
          <w:bCs/>
          <w:kern w:val="2"/>
          <w:sz w:val="21"/>
          <w:szCs w:val="21"/>
          <w:lang w:val="en-US" w:eastAsia="zh-CN" w:bidi="ar-SA"/>
        </w:rPr>
        <w:t>。</w:t>
      </w:r>
    </w:p>
    <w:p w14:paraId="087A6875">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color w:val="FF0000"/>
          <w:kern w:val="2"/>
          <w:sz w:val="21"/>
          <w:szCs w:val="21"/>
          <w:lang w:val="en-US" w:eastAsia="zh-CN" w:bidi="ar-SA"/>
        </w:rPr>
      </w:pPr>
      <w:r>
        <w:rPr>
          <w:rFonts w:hint="eastAsia" w:ascii="宋体" w:hAnsi="宋体" w:eastAsia="宋体" w:cs="宋体"/>
          <w:b w:val="0"/>
          <w:bCs/>
          <w:kern w:val="2"/>
          <w:sz w:val="21"/>
          <w:szCs w:val="21"/>
          <w:lang w:val="en-US" w:eastAsia="zh-CN" w:bidi="ar-SA"/>
        </w:rPr>
        <w:t>（</w:t>
      </w:r>
      <w:r>
        <w:rPr>
          <w:rFonts w:hint="default" w:ascii="宋体" w:hAnsi="宋体" w:eastAsia="宋体" w:cs="宋体"/>
          <w:b w:val="0"/>
          <w:bCs/>
          <w:kern w:val="2"/>
          <w:sz w:val="21"/>
          <w:szCs w:val="21"/>
          <w:lang w:val="en-US" w:eastAsia="zh-CN" w:bidi="ar-SA"/>
        </w:rPr>
        <w:t>3</w:t>
      </w:r>
      <w:r>
        <w:rPr>
          <w:rFonts w:hint="eastAsia" w:ascii="宋体" w:hAnsi="宋体" w:eastAsia="宋体" w:cs="宋体"/>
          <w:b w:val="0"/>
          <w:bCs/>
          <w:kern w:val="2"/>
          <w:sz w:val="21"/>
          <w:szCs w:val="21"/>
          <w:lang w:val="en-US" w:eastAsia="zh-CN" w:bidi="ar-SA"/>
        </w:rPr>
        <w:t>）素质目标：具备严谨细致、精益求精的工作态度</w:t>
      </w:r>
      <w:r>
        <w:rPr>
          <w:rFonts w:hint="eastAsia" w:cs="宋体"/>
          <w:b w:val="0"/>
          <w:bCs/>
          <w:kern w:val="2"/>
          <w:sz w:val="21"/>
          <w:szCs w:val="21"/>
          <w:lang w:val="en-US" w:eastAsia="zh-CN" w:bidi="ar-SA"/>
        </w:rPr>
        <w:t>；具有团队合作意识和沟通能力；具备终身学习能力和自我管理能力</w:t>
      </w:r>
      <w:r>
        <w:rPr>
          <w:rFonts w:hint="eastAsia" w:ascii="宋体" w:hAnsi="宋体" w:eastAsia="宋体" w:cs="宋体"/>
          <w:b w:val="0"/>
          <w:bCs/>
          <w:kern w:val="2"/>
          <w:sz w:val="21"/>
          <w:szCs w:val="21"/>
          <w:lang w:val="en-US" w:eastAsia="zh-CN" w:bidi="ar-SA"/>
        </w:rPr>
        <w:t>。</w:t>
      </w:r>
    </w:p>
    <w:p w14:paraId="110509DE">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主要内容：</w:t>
      </w:r>
    </w:p>
    <w:p w14:paraId="1C6186CB">
      <w:pPr>
        <w:pStyle w:val="22"/>
        <w:keepNext w:val="0"/>
        <w:keepLines w:val="0"/>
        <w:pageBreakBefore w:val="0"/>
        <w:widowControl w:val="0"/>
        <w:kinsoku/>
        <w:wordWrap/>
        <w:overflowPunct/>
        <w:topLinePunct w:val="0"/>
        <w:autoSpaceDE/>
        <w:autoSpaceDN/>
        <w:bidi w:val="0"/>
        <w:adjustRightInd/>
        <w:snapToGrid/>
        <w:spacing w:line="400" w:lineRule="exact"/>
        <w:ind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（1）新能源汽车整车控制系统概述；（2）整车控制策略；（3）整车控制相关通信协议</w:t>
      </w:r>
      <w:r>
        <w:rPr>
          <w:rFonts w:hint="eastAsia" w:cs="宋体"/>
          <w:b w:val="0"/>
          <w:bCs/>
          <w:kern w:val="2"/>
          <w:sz w:val="21"/>
          <w:szCs w:val="21"/>
          <w:lang w:val="en-US" w:eastAsia="zh-CN" w:bidi="ar-SA"/>
        </w:rPr>
        <w:t>；</w:t>
      </w:r>
      <w:r>
        <w:rPr>
          <w:rFonts w:hint="eastAsia" w:ascii="宋体" w:hAnsi="宋体" w:eastAsia="宋体" w:cs="宋体"/>
          <w:b w:val="0"/>
          <w:bCs/>
          <w:kern w:val="2"/>
          <w:sz w:val="21"/>
          <w:szCs w:val="21"/>
          <w:lang w:val="en-US" w:eastAsia="zh-CN" w:bidi="ar-SA"/>
        </w:rPr>
        <w:t>（4）整车控制系统的检测与调试</w:t>
      </w:r>
      <w:r>
        <w:rPr>
          <w:rFonts w:hint="eastAsia" w:cs="宋体"/>
          <w:b w:val="0"/>
          <w:bCs/>
          <w:kern w:val="2"/>
          <w:sz w:val="21"/>
          <w:szCs w:val="21"/>
          <w:lang w:val="en-US" w:eastAsia="zh-CN" w:bidi="ar-SA"/>
        </w:rPr>
        <w:t>；（5）整车控制系统故障诊断与维修；（6）新能源汽车整车控制技术发展趋势</w:t>
      </w:r>
      <w:r>
        <w:rPr>
          <w:rFonts w:hint="eastAsia" w:ascii="宋体" w:hAnsi="宋体" w:eastAsia="宋体" w:cs="宋体"/>
          <w:b w:val="0"/>
          <w:bCs/>
          <w:kern w:val="2"/>
          <w:sz w:val="21"/>
          <w:szCs w:val="21"/>
          <w:lang w:val="en-US" w:eastAsia="zh-CN" w:bidi="ar-SA"/>
        </w:rPr>
        <w:t>。</w:t>
      </w:r>
    </w:p>
    <w:p w14:paraId="3F5BE9CF">
      <w:pPr>
        <w:keepNext w:val="0"/>
        <w:keepLines w:val="0"/>
        <w:pageBreakBefore w:val="0"/>
        <w:numPr>
          <w:ilvl w:val="0"/>
          <w:numId w:val="0"/>
        </w:numPr>
        <w:wordWrap/>
        <w:topLinePunct w:val="0"/>
        <w:bidi w:val="0"/>
        <w:adjustRightInd w:val="0"/>
        <w:snapToGrid w:val="0"/>
        <w:spacing w:line="400" w:lineRule="exact"/>
        <w:ind w:left="0" w:right="0" w:firstLine="421"/>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教学要求：</w:t>
      </w:r>
    </w:p>
    <w:p w14:paraId="7ACC3D7B">
      <w:pPr>
        <w:keepNext w:val="0"/>
        <w:keepLines w:val="0"/>
        <w:pageBreakBefore w:val="0"/>
        <w:widowControl w:val="0"/>
        <w:numPr>
          <w:ilvl w:val="0"/>
          <w:numId w:val="11"/>
        </w:numPr>
        <w:kinsoku/>
        <w:wordWrap/>
        <w:overflowPunct/>
        <w:topLinePunct w:val="0"/>
        <w:autoSpaceDE/>
        <w:autoSpaceDN/>
        <w:bidi w:val="0"/>
        <w:adjustRightInd w:val="0"/>
        <w:snapToGrid w:val="0"/>
        <w:spacing w:line="400" w:lineRule="exact"/>
        <w:ind w:left="0" w:right="0" w:firstLine="42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教师要求：熟悉新能源汽车整车控制系统的结构、工作原理、控制策略和故障诊断方法，具备新能源汽车在整车控制方面的实际应用情况</w:t>
      </w:r>
      <w:r>
        <w:rPr>
          <w:rFonts w:hint="eastAsia" w:ascii="宋体" w:hAnsi="宋体" w:cs="宋体"/>
          <w:b w:val="0"/>
          <w:bCs/>
          <w:kern w:val="2"/>
          <w:sz w:val="21"/>
          <w:szCs w:val="21"/>
          <w:lang w:val="en-US" w:eastAsia="zh-CN" w:bidi="ar-SA"/>
        </w:rPr>
        <w:t>与维修实践</w:t>
      </w:r>
      <w:r>
        <w:rPr>
          <w:rFonts w:hint="eastAsia" w:ascii="宋体" w:hAnsi="宋体" w:eastAsia="宋体" w:cs="宋体"/>
          <w:b w:val="0"/>
          <w:bCs/>
          <w:kern w:val="2"/>
          <w:sz w:val="21"/>
          <w:szCs w:val="21"/>
          <w:lang w:val="en-US" w:eastAsia="zh-CN" w:bidi="ar-SA"/>
        </w:rPr>
        <w:t>能力。</w:t>
      </w:r>
    </w:p>
    <w:p w14:paraId="6981A056">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（2）教学条件：多媒体辅助课件,实践课在新能源汽车整车控制系统实训室，配置新能源汽车整车控制系统仿真软件、虚拟实验室。</w:t>
      </w:r>
    </w:p>
    <w:p w14:paraId="2FB89C6F">
      <w:pPr>
        <w:keepNext w:val="0"/>
        <w:keepLines w:val="0"/>
        <w:pageBreakBefore w:val="0"/>
        <w:numPr>
          <w:ilvl w:val="0"/>
          <w:numId w:val="0"/>
        </w:numPr>
        <w:wordWrap/>
        <w:topLinePunct w:val="0"/>
        <w:bidi w:val="0"/>
        <w:adjustRightInd w:val="0"/>
        <w:snapToGrid w:val="0"/>
        <w:spacing w:line="400" w:lineRule="exact"/>
        <w:ind w:left="0" w:right="0" w:firstLine="420"/>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w:t>
      </w:r>
      <w:r>
        <w:rPr>
          <w:rFonts w:hint="eastAsia" w:ascii="宋体" w:hAnsi="宋体" w:cs="宋体"/>
          <w:b w:val="0"/>
          <w:bCs/>
          <w:kern w:val="2"/>
          <w:sz w:val="21"/>
          <w:szCs w:val="21"/>
          <w:lang w:val="en-US" w:eastAsia="zh-CN" w:bidi="ar-SA"/>
        </w:rPr>
        <w:t>案例分析</w:t>
      </w:r>
      <w:r>
        <w:rPr>
          <w:rFonts w:hint="eastAsia" w:ascii="宋体" w:hAnsi="宋体" w:eastAsia="宋体" w:cs="宋体"/>
          <w:b w:val="0"/>
          <w:bCs/>
          <w:kern w:val="2"/>
          <w:sz w:val="21"/>
          <w:szCs w:val="21"/>
          <w:lang w:val="en-US" w:eastAsia="zh-CN" w:bidi="ar-SA"/>
        </w:rPr>
        <w:t>法、自主学习法。</w:t>
      </w:r>
    </w:p>
    <w:p w14:paraId="6CF7E448">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51DFB161">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szCs w:val="21"/>
          <w:lang w:val="en-US" w:eastAsia="zh-CN"/>
        </w:rPr>
      </w:pPr>
      <w:r>
        <w:rPr>
          <w:rFonts w:hint="eastAsia" w:ascii="宋体" w:hAnsi="宋体" w:eastAsia="宋体" w:cs="宋体"/>
          <w:b w:val="0"/>
          <w:bCs/>
          <w:szCs w:val="21"/>
          <w:lang w:val="en-US" w:eastAsia="zh-CN"/>
        </w:rPr>
        <w:t>专业选修课包含专业限选课程和专业任选课程两类，其中专业选修课程有</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汽车使用与维护</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车载网络技术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智能网络汽车技术</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新能源汽车装配工艺</w:t>
      </w:r>
      <w:r>
        <w:rPr>
          <w:rFonts w:hint="eastAsia"/>
          <w:color w:val="000000" w:themeColor="text1"/>
          <w:spacing w:val="-4"/>
          <w:lang w:eastAsia="zh-CN"/>
          <w14:textFill>
            <w14:solidFill>
              <w14:schemeClr w14:val="tx1"/>
            </w14:solidFill>
          </w14:textFill>
        </w:rPr>
        <w:t>》《</w:t>
      </w:r>
      <w:r>
        <w:rPr>
          <w:rFonts w:hint="eastAsia"/>
          <w:color w:val="000000" w:themeColor="text1"/>
          <w:spacing w:val="-4"/>
          <w14:textFill>
            <w14:solidFill>
              <w14:schemeClr w14:val="tx1"/>
            </w14:solidFill>
          </w14:textFill>
        </w:rPr>
        <w:t>车载充电系统及充电站技术</w:t>
      </w:r>
      <w:r>
        <w:rPr>
          <w:rFonts w:hint="eastAsia"/>
          <w:color w:val="000000" w:themeColor="text1"/>
          <w:spacing w:val="-4"/>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5</w:t>
      </w:r>
      <w:r>
        <w:rPr>
          <w:color w:val="000000" w:themeColor="text1"/>
          <w:spacing w:val="-4"/>
          <w14:textFill>
            <w14:solidFill>
              <w14:schemeClr w14:val="tx1"/>
            </w14:solidFill>
          </w14:textFill>
        </w:rPr>
        <w:t>门课程，</w:t>
      </w:r>
      <w:r>
        <w:rPr>
          <w:rFonts w:hint="eastAsia"/>
          <w:color w:val="000000" w:themeColor="text1"/>
          <w:spacing w:val="-4"/>
          <w:lang w:val="en-US" w:eastAsia="zh-CN"/>
          <w14:textFill>
            <w14:solidFill>
              <w14:schemeClr w14:val="tx1"/>
            </w14:solidFill>
          </w14:textFill>
        </w:rPr>
        <w:t>12</w:t>
      </w:r>
      <w:r>
        <w:rPr>
          <w:color w:val="000000" w:themeColor="text1"/>
          <w:spacing w:val="-4"/>
          <w14:textFill>
            <w14:solidFill>
              <w14:schemeClr w14:val="tx1"/>
            </w14:solidFill>
          </w14:textFill>
        </w:rPr>
        <w:t>学分</w:t>
      </w:r>
      <w:r>
        <w:rPr>
          <w:rFonts w:hint="eastAsia"/>
          <w:color w:val="000000" w:themeColor="text1"/>
          <w:spacing w:val="-4"/>
          <w:lang w:eastAsia="zh-CN"/>
          <w14:textFill>
            <w14:solidFill>
              <w14:schemeClr w14:val="tx1"/>
            </w14:solidFill>
          </w14:textFill>
        </w:rPr>
        <w:t>。</w:t>
      </w:r>
      <w:r>
        <w:rPr>
          <w:rFonts w:hint="eastAsia"/>
          <w:color w:val="000000" w:themeColor="text1"/>
          <w:spacing w:val="-4"/>
          <w:lang w:val="en-US" w:eastAsia="zh-CN"/>
          <w14:textFill>
            <w14:solidFill>
              <w14:schemeClr w14:val="tx1"/>
            </w14:solidFill>
          </w14:textFill>
        </w:rPr>
        <w:t>专业任选课程有《新能源汽车概论》《汽车法律法规》《二手车鉴定与评估》《汽车保险与理赔》《燃料电池汽车技术》《汽车专业英语》《汽车试验技术》《汽车轻量化技术》《汽车生产管理》《智能汽车环境感知技术》《汽车性能仿真与评价》11门课程，学生需选够4学分，共计16学分。</w:t>
      </w:r>
    </w:p>
    <w:p w14:paraId="2F8BD466">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eastAsia" w:ascii="宋体" w:hAnsi="宋体" w:eastAsia="宋体" w:cs="宋体"/>
          <w:b/>
          <w:bCs w:val="0"/>
          <w:szCs w:val="21"/>
          <w:lang w:val="en-US" w:eastAsia="zh-CN"/>
        </w:rPr>
      </w:pPr>
      <w:r>
        <w:rPr>
          <w:rFonts w:hint="eastAsia" w:ascii="宋体" w:hAnsi="宋体" w:eastAsia="宋体" w:cs="宋体"/>
          <w:b/>
          <w:bCs w:val="0"/>
          <w:szCs w:val="21"/>
          <w:lang w:val="en-US" w:eastAsia="zh-CN"/>
        </w:rPr>
        <w:t>1.汽车使用与维护</w:t>
      </w:r>
    </w:p>
    <w:p w14:paraId="055DC8A6">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课程目标</w:t>
      </w:r>
      <w:r>
        <w:rPr>
          <w:rFonts w:hint="eastAsia" w:ascii="宋体" w:hAnsi="宋体" w:eastAsia="宋体" w:cs="宋体"/>
          <w:b/>
          <w:bCs w:val="0"/>
          <w:kern w:val="2"/>
          <w:sz w:val="21"/>
          <w:szCs w:val="21"/>
          <w:lang w:val="en-US" w:eastAsia="zh-CN" w:bidi="ar-SA"/>
        </w:rPr>
        <w:t>:</w:t>
      </w:r>
    </w:p>
    <w:p w14:paraId="1C1F28BF">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知识目标：全面理解并熟练掌握汽车使用与维护的基本原理和规范，包括汽车各系统（发动机、底盘、车身、电气设备等）的使用注意事项及维护要求；清晰分辨传统燃油汽车与新能源汽车在使用方法和维护内容上的差异与联系；深入了解新能源汽车领域中使用与维护技术的新要求，如电池维护、电机系统保养等带来的变革。</w:t>
      </w:r>
    </w:p>
    <w:p w14:paraId="5940ECC8">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（2）能力目标：能够熟练运用汽车使用与维护知识，准确分析并有效解决汽车日常使用及维护过程中涉及的一般问题；正确且熟练地使用各类汽车维护工具和设备，完成常规维护作业。</w:t>
      </w:r>
    </w:p>
    <w:p w14:paraId="2EF47224">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（3）素质目标：具备对新能源汽车使用与维护技术钻研的热情；具有良好的团队合作精神，具备一定的社会责任感和职业道德，确保维护作业的安全性和规范性。</w:t>
      </w:r>
    </w:p>
    <w:p w14:paraId="2E1525A1">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主要内容</w:t>
      </w:r>
      <w:r>
        <w:rPr>
          <w:rFonts w:hint="eastAsia" w:ascii="宋体" w:hAnsi="宋体" w:eastAsia="宋体" w:cs="宋体"/>
          <w:b/>
          <w:bCs w:val="0"/>
          <w:kern w:val="2"/>
          <w:sz w:val="21"/>
          <w:szCs w:val="21"/>
          <w:lang w:val="en-US" w:eastAsia="zh-CN" w:bidi="ar-SA"/>
        </w:rPr>
        <w:t>:</w:t>
      </w:r>
    </w:p>
    <w:p w14:paraId="569771AC">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（1）汽车使用基础知识；（2）发动机使用与维护；（3）汽车底盘使用与维护；（4）汽车车身使用与维护；（5）汽车电气设备使用与维护；（6）新能源汽车使用与维护专题。</w:t>
      </w:r>
    </w:p>
    <w:p w14:paraId="6DBC58F0">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教学要求</w:t>
      </w:r>
      <w:r>
        <w:rPr>
          <w:rFonts w:hint="eastAsia" w:ascii="宋体" w:hAnsi="宋体" w:eastAsia="宋体" w:cs="宋体"/>
          <w:b/>
          <w:bCs w:val="0"/>
          <w:kern w:val="2"/>
          <w:sz w:val="21"/>
          <w:szCs w:val="21"/>
          <w:lang w:val="en-US" w:eastAsia="zh-CN" w:bidi="ar-SA"/>
        </w:rPr>
        <w:t>：</w:t>
      </w:r>
    </w:p>
    <w:p w14:paraId="242407FF">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（1）教师要求：熟悉汽车各系统的使用特性和维护流程，具备较强的汽车使用与维护理论知识和实践能力。</w:t>
      </w:r>
    </w:p>
    <w:p w14:paraId="7CC11D7E">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（2）教学条件：多媒体辅助课件，实践课在汽车维护实训室，配置汽车维护仿真软件、虚拟实验室及常用维护工具。</w:t>
      </w:r>
    </w:p>
    <w:p w14:paraId="2295A601">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（3）教学方法：现场教学法、分组讨论法、直观演示法、动手实践法、自主学习法和任务驱动法。</w:t>
      </w:r>
    </w:p>
    <w:p w14:paraId="7572E575">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（4）考核评价：</w:t>
      </w:r>
      <w:r>
        <w:rPr>
          <w:rFonts w:hint="eastAsia" w:ascii="宋体" w:hAnsi="宋体" w:eastAsia="宋体" w:cs="宋体"/>
          <w:b w:val="0"/>
          <w:bCs/>
          <w:kern w:val="2"/>
          <w:sz w:val="21"/>
          <w:szCs w:val="21"/>
          <w:lang w:val="en-US" w:eastAsia="zh-CN" w:bidi="ar-SA"/>
        </w:rPr>
        <w:t>过程考核占30%+综合考核占70%。</w:t>
      </w:r>
    </w:p>
    <w:p w14:paraId="61BB38B7">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szCs w:val="21"/>
          <w:lang w:val="en-US" w:eastAsia="zh-CN"/>
        </w:rPr>
      </w:pPr>
      <w:r>
        <w:rPr>
          <w:rFonts w:hint="eastAsia" w:ascii="宋体" w:hAnsi="宋体" w:eastAsia="宋体" w:cs="宋体"/>
          <w:b/>
          <w:bCs w:val="0"/>
          <w:szCs w:val="21"/>
          <w:lang w:val="en-US" w:eastAsia="zh-CN"/>
        </w:rPr>
        <w:t>2.车载网络技术</w:t>
      </w:r>
    </w:p>
    <w:p w14:paraId="2820AF9E">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2B068C56">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车载网络的基本构造与工作原理，包括网络拓扑结构、通信协议、数据传输机制等核心内容；清晰分辨传统燃油汽车与新能源汽车在车载网络系统上的差异与联系；深入了解新能源汽车领域中车载网络技术的新应用，如多域控制器网络架构、高压系统通信安全等在技术方面带来的变革。</w:t>
      </w:r>
    </w:p>
    <w:p w14:paraId="12ED4BD7">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（2）能力目标：能够熟练运用车载网络技术知识，准确分析并有效解决汽车维修、检测过程中涉及车载网络方面的一般问题；正确且熟练地使用各类车载网络诊断工具和设备。</w:t>
      </w:r>
    </w:p>
    <w:p w14:paraId="588ECEAA">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（3）素质目标：具备对新能源汽车车载网络技术钻研的热情；具有良好的团队合作精神，具备一定的社会责任感和职业道德。</w:t>
      </w:r>
    </w:p>
    <w:p w14:paraId="72DB3520">
      <w:pPr>
        <w:keepNext w:val="0"/>
        <w:keepLines w:val="0"/>
        <w:pageBreakBefore w:val="0"/>
        <w:numPr>
          <w:ilvl w:val="0"/>
          <w:numId w:val="0"/>
        </w:numPr>
        <w:wordWrap/>
        <w:topLinePunct w:val="0"/>
        <w:bidi w:val="0"/>
        <w:adjustRightInd w:val="0"/>
        <w:snapToGrid w:val="0"/>
        <w:spacing w:line="400" w:lineRule="exact"/>
        <w:ind w:left="0" w:right="0" w:firstLine="422" w:firstLineChars="200"/>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560C23E3">
      <w:pPr>
        <w:keepNext w:val="0"/>
        <w:keepLines w:val="0"/>
        <w:pageBreakBefore w:val="0"/>
        <w:numPr>
          <w:ilvl w:val="0"/>
          <w:numId w:val="0"/>
        </w:numPr>
        <w:wordWrap/>
        <w:topLinePunct w:val="0"/>
        <w:bidi w:val="0"/>
        <w:adjustRightInd w:val="0"/>
        <w:snapToGrid w:val="0"/>
        <w:spacing w:line="400" w:lineRule="exact"/>
        <w:ind w:left="0" w:right="0" w:firstLine="420" w:firstLineChars="200"/>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（1）车载网络总体认识；（2）车载网络通信协议与标准；（3）传统汽车车载网络构造；（4）新能源汽车车载网络系统特点；（5）车载网络故障诊断技术；（6）新能源汽车车载网络新技术专题。</w:t>
      </w:r>
    </w:p>
    <w:p w14:paraId="05D8270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1667BBB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（1）教师要求：熟悉车载网络各部分的工作过程和数据交互关系，具备较强的车载网络技术理论知识和实践能力。</w:t>
      </w:r>
    </w:p>
    <w:p w14:paraId="18857C6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（2）教学条件：多媒体辅助课件，实践课在汽车电子实训室，配置车载网络仿真软件、虚拟诊断平台。</w:t>
      </w:r>
    </w:p>
    <w:p w14:paraId="63FA8C6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35F576E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1C461A1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3.智能网联汽车技术</w:t>
      </w:r>
    </w:p>
    <w:p w14:paraId="40FF4BA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547B642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智能网联汽车的基本构造与工作原理，包括环境感知、决策规划、控制执行等核心系统及车联网通信基础；清晰分辨传统汽车与智能网联汽车在构造和技术实现上的差异与联系；深入了解智能网联汽车领域的新技术应用，如自动驾驶系统、车路协同技术、智能座舱交互等在汽车构造与功能实现方面带来的变革。</w:t>
      </w:r>
    </w:p>
    <w:p w14:paraId="2732BB0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（2）能力目标：能够熟练运用智能网联汽车技术相关理论知识，准确分析并有效解决智能网联汽车在维修、检测过程中涉及技术原理方面的一般问题；正确且熟练地使用各类智能网联汽车检测工具和设备。</w:t>
      </w:r>
    </w:p>
    <w:p w14:paraId="2FE98FA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（3）素质目标：具备对智能网联汽车技术钻研的热情；具有良好的团队合作精神，具备一定的社会责任感和职业道德。</w:t>
      </w:r>
    </w:p>
    <w:p w14:paraId="7EAAAEC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09BF1E9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（1）智能网联汽车总体认识；（2）智能网联汽车环境感知技术；（3）智能网联汽车决策与控制技术；（4）车联网通信技术基础；（5）智能网联汽车相关法规与安全；（6）智能网联汽车新技术应用专题。</w:t>
      </w:r>
    </w:p>
    <w:p w14:paraId="32BB85F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6659CA2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（1）教师要求：熟悉智能网联汽车各系统的工作过程和技术关联，具备较强的智能网联汽车技术理论知识和实践能力。</w:t>
      </w:r>
    </w:p>
    <w:p w14:paraId="6D2F96E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（2）教学条件：多媒体辅助课件，实践课在智能网联汽车实训室，配置智能网联汽车仿真软件、虚拟测试平台。</w:t>
      </w:r>
    </w:p>
    <w:p w14:paraId="2DD9734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737BECA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6B6B440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4.新能源汽车装配工艺</w:t>
      </w:r>
    </w:p>
    <w:p w14:paraId="3D400C4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2C0ACBD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新能源汽车装配工艺的基本原理与流程，包括整车装配流程、关键零部件（如电池组、电机、电控系统等）的装配要求及技术规范；清晰分辨传统燃油汽车与新能源汽车在装配工艺上的差异与联系，如高压系统装配、电池包安装等特殊工艺的区别；深入了解新能源汽车领域装配工艺的新技术应用，如自动化装配技术、模块化装配理念等在装配流程和质量控制方面带来的变革。</w:t>
      </w:r>
    </w:p>
    <w:p w14:paraId="1F27625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新能源汽车装配工艺知识，准确分析并有效解决装配过程中涉及工艺方面的一般问题，如零部件配合偏差、装配顺序错误等；正确且熟练地使用各类装配工具、设备及自动化装配辅助系统。</w:t>
      </w:r>
    </w:p>
    <w:p w14:paraId="360F5C9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（3）素质目标：具备对新能源汽车装配工艺技术钻研的热情；具有良好的团队合作精神，在装配协作中高效配合、精准操作；具备一定的社会责任感和职业道德，严格遵守装配安全规范，确保产品质量。</w:t>
      </w:r>
    </w:p>
    <w:p w14:paraId="49EC0E6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3E89982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装配工艺总体认识；（2）新能源汽车零部件装配基础；（3）电池组与高压系统装配工艺；（4）电机与电控系统装配工艺；（5）整车总装配流程与工艺；（6）新能源汽车装配质量检测与控制专题。</w:t>
      </w:r>
    </w:p>
    <w:p w14:paraId="2A6485C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15FDAA9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（1）教师要求：熟悉新能源汽车各部件的装配过程和配合关系，具备较强的装配工艺理论知识和实践指导能力。</w:t>
      </w:r>
    </w:p>
    <w:p w14:paraId="6CDB571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（2）教学条件：多媒体辅助课件，实践课在新能源汽车装配实训车间，配置装配工艺仿真软件、虚拟装配实验室及各类装配工具、模拟装配工位。</w:t>
      </w:r>
    </w:p>
    <w:p w14:paraId="2D927D2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58A31B6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3FC67ED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5.车载充电系统及充电站技术</w:t>
      </w:r>
    </w:p>
    <w:p w14:paraId="15FF016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41718E1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车载充电系统及充电站的基本构造与工作原理，包括车载充电机、电池管理系统与充电接口的结构及协同工作机制，充电站的供电系统、充电设备等组成部分的运行原理；清晰分辨传统燃油汽车与新能源汽车在能源补给相关构造上的差异，重点掌握新能源汽车充电系统的独特构造；深入了解新能源汽车充电领域的新技术应用，如快充技术、无线充电技术等在车载充电系统及充电站构造方面带来的变革。</w:t>
      </w:r>
    </w:p>
    <w:p w14:paraId="426BBB1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车载充电系统及充电站技术的理论知识，准确分析并有效解决充电系统维修、充电站运营维护过程中涉及构造方面的一般问题；正确且熟练地使用各类充电系统检测工具和充电站维护设备。</w:t>
      </w:r>
    </w:p>
    <w:p w14:paraId="0F4D148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（3）素质目标：具备对新能源汽车充电技术钻研的热情；具有良好的团队合作精神，在充电系统安装、维护等工作中协同配合；具备一定的社会责任感和职业道德，重视充电安全规范。</w:t>
      </w:r>
    </w:p>
    <w:p w14:paraId="60FF24B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1BB256C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车载充电系统及充电站总体认识；（2）车载充电机构造与原理；（3）充电接口及连接系统构造；（4）充电站供电及充电设备构造；（5）充电系统与电池管理系统的协同机制；（6）新型充电技术及充电站发展专题。</w:t>
      </w:r>
    </w:p>
    <w:p w14:paraId="087AA5B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1CF52F6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（1）教师要求：熟悉车载充电系统及充电站各部件的工作过程和连接关系，具备较强的充电技术理论知识和实践能力。</w:t>
      </w:r>
    </w:p>
    <w:p w14:paraId="49D19AC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（2）教学条件：多媒体辅助课件，实践课在充电技术实训室，配置充电系统仿真软件、虚拟充电站实验平台。</w:t>
      </w:r>
    </w:p>
    <w:p w14:paraId="4154630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71E12FE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0A4B371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6.新能源汽车概论</w:t>
      </w:r>
    </w:p>
    <w:p w14:paraId="53910EE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2032E95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新能源汽车的基本构造与分类，包括纯电动汽车、混合动力汽车、燃料电池汽车等的核心组成部分（如电池系统、电机系统、电控系统等）及其工作原理；清晰分辨新能源汽车与传统燃油汽车在构造、动力传递、能源补给等方面的差异与联系；深入了解新能源汽车行业的发展历程、现状及趋势，尤其是新型电池技术、电驱动系统、智能网联融合等新技术在新能源汽车领域的应用与变革。</w:t>
      </w:r>
    </w:p>
    <w:p w14:paraId="7A9D66B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新能源汽车概论的理论知识，准确分析新能源汽车与传统燃油汽车在技术特点、使用场景等方面的异同，解决与新能源汽车基础认知相关的一般问题；正确识别新能源汽车的主要部件，初步掌握其功能判断方法。</w:t>
      </w:r>
    </w:p>
    <w:p w14:paraId="26A4101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技术发展探索的热情；培养良好的团队合作精神，在新能源汽车技术研讨中有效沟通协作；树立一定的社会责任感和职业道德，关注新能源汽车产业对环境保护、能源安全的影响。</w:t>
      </w:r>
    </w:p>
    <w:p w14:paraId="05FD355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75A5329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新能源汽车总体认识（定义、分类、发展历程）；（2）新能源汽车核心系统构造（电池系统、电机系统、电控系统）；（3）不同类型新能源汽车（纯电动、混动、燃料电池等）的特点与构造；（4）新能源汽车能源补给与基础设施；（5）新能源汽车政策法规与产业现状；（6）新能源汽车未来技术发展专题。</w:t>
      </w:r>
    </w:p>
    <w:p w14:paraId="5AC7CDB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6EEA2AF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（1）教师要求：熟悉新能源汽车各系统的工作原理和构造关系，具备扎实的新能源汽车理论知识和行业前沿视野，能够结合产业实践讲解技术要点。</w:t>
      </w:r>
    </w:p>
    <w:p w14:paraId="57C2D88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（2）教学条件：多媒体辅助课件，实践课可在新能源汽车展示实训室进行，配置新能源汽车构造模型、产业发展数据库及虚拟体验软件。</w:t>
      </w:r>
    </w:p>
    <w:p w14:paraId="7ECF685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结合实车或模型讲解）、分组讨论法（针对技术趋势或案例分析）、直观演示法（通过视频或动画展示工作过程）、自主学习法（查阅产业资料）和任务驱动法（如完成某类新能源汽车的技术特点调研）。</w:t>
      </w:r>
    </w:p>
    <w:p w14:paraId="5EA92E9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（4）考核评价：过程考核占70%（包括课堂表现、专题报告、小组讨论等）+综合考核占30%（包括期末理论测试、综合知识应用考核等）。</w:t>
      </w:r>
    </w:p>
    <w:p w14:paraId="5A27CD3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7.汽车法律法规</w:t>
      </w:r>
    </w:p>
    <w:p w14:paraId="0D7DAA1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课程目标</w:t>
      </w:r>
      <w:r>
        <w:rPr>
          <w:rFonts w:hint="eastAsia" w:ascii="宋体" w:hAnsi="宋体" w:eastAsia="宋体" w:cs="宋体"/>
          <w:b/>
          <w:bCs w:val="0"/>
          <w:kern w:val="2"/>
          <w:sz w:val="21"/>
          <w:szCs w:val="21"/>
          <w:lang w:val="en-US" w:eastAsia="zh-CN" w:bidi="ar-SA"/>
        </w:rPr>
        <w:t>：</w:t>
      </w:r>
    </w:p>
    <w:p w14:paraId="632B486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知识目标：全面理解并熟练掌握汽车行业相关法律法规的核心内容，包括汽车生产制造、销售流通、维修保养、报废回收等环节的法律规范；清晰分辨传统燃油汽车与新能源汽车在法律法规适用上的差异与联系，如新能源汽车的安全标准、补贴政策、电池回收规定等特殊条款；深入了解汽车行业发展对法律法规带来的新要求，尤其是新能源汽车领域在新型电池技术应用、电机控制系统安全等方面催生的法律规范变革。</w:t>
      </w:r>
    </w:p>
    <w:p w14:paraId="79673D1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（2）能力目标：能够熟练运用汽车法律法规知识，准确分析并有效解决汽车生产、销售、维修等过程中涉及法律方面的一般问题；正确查阅和运用各类汽车相关法律法规条文及政策文件。</w:t>
      </w:r>
    </w:p>
    <w:p w14:paraId="6CBB963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（3）素质目标：具备对新能源汽车相关法律法规钻研的积极性；具有良好的团队合作精神，在处理法律相关问题时能有效协作；具备较强的社会责任感和职业道德，严格遵守汽车行业法律法规。</w:t>
      </w:r>
    </w:p>
    <w:p w14:paraId="0162AF8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主要内容</w:t>
      </w:r>
      <w:r>
        <w:rPr>
          <w:rFonts w:hint="eastAsia" w:ascii="宋体" w:hAnsi="宋体" w:eastAsia="宋体" w:cs="宋体"/>
          <w:b/>
          <w:bCs w:val="0"/>
          <w:kern w:val="2"/>
          <w:sz w:val="21"/>
          <w:szCs w:val="21"/>
          <w:lang w:val="en-US" w:eastAsia="zh-CN" w:bidi="ar-SA"/>
        </w:rPr>
        <w:t>：</w:t>
      </w:r>
    </w:p>
    <w:p w14:paraId="4F732F0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（1）汽车法律法规总体认识；（2）汽车生产与质量相关法规；（3）汽车销售与使用相关法规；（4）汽车维修与服务相关法规；（5）汽车环保与安全相关法规；（6）新能源汽车法律法规专题。</w:t>
      </w:r>
    </w:p>
    <w:p w14:paraId="6279BCA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default" w:ascii="宋体" w:hAnsi="宋体" w:eastAsia="宋体" w:cs="宋体"/>
          <w:b/>
          <w:bCs w:val="0"/>
          <w:kern w:val="2"/>
          <w:sz w:val="21"/>
          <w:szCs w:val="21"/>
          <w:lang w:val="en-US" w:eastAsia="zh-CN" w:bidi="ar-SA"/>
        </w:rPr>
        <w:t>教学要求</w:t>
      </w:r>
      <w:r>
        <w:rPr>
          <w:rFonts w:hint="eastAsia" w:ascii="宋体" w:hAnsi="宋体" w:eastAsia="宋体" w:cs="宋体"/>
          <w:b/>
          <w:bCs w:val="0"/>
          <w:kern w:val="2"/>
          <w:sz w:val="21"/>
          <w:szCs w:val="21"/>
          <w:lang w:val="en-US" w:eastAsia="zh-CN" w:bidi="ar-SA"/>
        </w:rPr>
        <w:t>：</w:t>
      </w:r>
    </w:p>
    <w:p w14:paraId="4ABD405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（1）教师要求：熟悉汽车行业各环节涉及的法律法规及政策要求，具备扎实的汽车法律法规理论知识和实践应用能力。</w:t>
      </w:r>
    </w:p>
    <w:p w14:paraId="7DBEEB8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（2）教学条件：多媒体辅助课件，实践课可在模拟法庭或案例研讨室进行，配置汽车法律法规数据库、案例分析软件等。</w:t>
      </w:r>
    </w:p>
    <w:p w14:paraId="32A5848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（3）教学方法：现场教学法、分组讨论法、案例分析法、模拟实践法、自主学习法和任务驱动法。</w:t>
      </w:r>
    </w:p>
    <w:p w14:paraId="3FA3A95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default" w:ascii="宋体" w:hAnsi="宋体" w:eastAsia="宋体" w:cs="宋体"/>
          <w:b w:val="0"/>
          <w:bCs/>
          <w:kern w:val="2"/>
          <w:sz w:val="21"/>
          <w:szCs w:val="21"/>
          <w:lang w:val="en-US" w:eastAsia="zh-CN" w:bidi="ar-SA"/>
        </w:rPr>
      </w:pPr>
      <w:r>
        <w:rPr>
          <w:rFonts w:hint="default" w:ascii="宋体" w:hAnsi="宋体" w:eastAsia="宋体" w:cs="宋体"/>
          <w:b w:val="0"/>
          <w:bCs/>
          <w:kern w:val="2"/>
          <w:sz w:val="21"/>
          <w:szCs w:val="21"/>
          <w:lang w:val="en-US" w:eastAsia="zh-CN" w:bidi="ar-SA"/>
        </w:rPr>
        <w:t>（4）考核评价：</w:t>
      </w:r>
      <w:r>
        <w:rPr>
          <w:rFonts w:hint="eastAsia" w:ascii="宋体" w:hAnsi="宋体" w:eastAsia="宋体" w:cs="宋体"/>
          <w:b w:val="0"/>
          <w:bCs/>
          <w:kern w:val="2"/>
          <w:sz w:val="21"/>
          <w:szCs w:val="21"/>
          <w:lang w:val="en-US" w:eastAsia="zh-CN" w:bidi="ar-SA"/>
        </w:rPr>
        <w:t>过程考核占30%+综合考核占70%。</w:t>
      </w:r>
    </w:p>
    <w:p w14:paraId="589DF84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8.二手车鉴定与评估</w:t>
      </w:r>
    </w:p>
    <w:p w14:paraId="44BC1E5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11A18B2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二手车鉴定与评估的基本原理和方法，包括车辆技术状况鉴定、价值评估体系等核心内容；清晰分辨传统燃油汽车与新能源汽车在二手车鉴定与评估方面的差异与联系，如电池衰减程度评估、电机系统检测等新能源汽车特有的鉴定要点；深入了解新能源汽车发展对二手车鉴定与评估带来的新要求，尤其是新型电池技术、电机控制系统等在车辆残值评估方面带来的变革。</w:t>
      </w:r>
    </w:p>
    <w:p w14:paraId="5CF6F0A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（2）能力目标：能够熟练运用二手车鉴定与评估知识，准确对二手车（包括传统燃油车和新能源汽车）的技术状况进行鉴定并合理评估其价值；正确且熟练地使用各类二手车检测工具和设备。</w:t>
      </w:r>
    </w:p>
    <w:p w14:paraId="7CD6E30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（3）素质目标：具备对新能源汽车二手车鉴定与评估技术钻研的热情；具有良好的团队合作精神，在鉴定与评估协作过程中有效配合；具备一定的社会责任感和职业道德，确保鉴定评估结果的公正性和准确性。</w:t>
      </w:r>
    </w:p>
    <w:p w14:paraId="3B916F8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1C06DC7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（1）二手车鉴定与评估总体认识；（2）传统燃油汽车鉴定与评估；（3）新能源汽车鉴定与评估基础；（4）二手车技术状况检测；（5）二手车价值评估方法；（6）新能源汽车二手车鉴定与评估专题。</w:t>
      </w:r>
    </w:p>
    <w:p w14:paraId="3496DF4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3DFC57B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（1）教师要求：熟悉二手车各部件的技术状况判断标准和评估逻辑，具备较强的二手车鉴定与评估理论知识和实践能力。</w:t>
      </w:r>
    </w:p>
    <w:p w14:paraId="2552B56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（2）教学条件：多媒体辅助课件，实践课在二手车鉴定评估实训室，配置车辆检测工具、评估软件、虚拟评估实验室。</w:t>
      </w:r>
    </w:p>
    <w:p w14:paraId="28DC16D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2580436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lang w:val="en-US" w:eastAsia="zh-CN"/>
        </w:rPr>
      </w:pPr>
      <w:r>
        <w:rPr>
          <w:rFonts w:hint="eastAsia" w:ascii="宋体" w:hAnsi="宋体" w:eastAsia="宋体" w:cs="宋体"/>
          <w:b w:val="0"/>
          <w:bCs/>
          <w:kern w:val="2"/>
          <w:sz w:val="21"/>
          <w:szCs w:val="21"/>
          <w:lang w:val="en-US" w:eastAsia="zh-CN" w:bidi="ar-SA"/>
        </w:rPr>
        <w:t>（4）考核评价：过程考核占30%+综合考核占70%。</w:t>
      </w:r>
    </w:p>
    <w:p w14:paraId="4BE2F95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9.汽车保险与理赔</w:t>
      </w:r>
    </w:p>
    <w:p w14:paraId="0A3D136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55C4403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保险与理赔的基本原理和流程，包括保险险种分类、投保规则、理赔程序等核心内容；清晰分辨传统燃油汽车与新能源汽车在保险与理赔方面的差异与联系，如新能源汽车电池、电机等特殊部件的保险覆盖范围及理赔标准；深入了解新能源汽车发展对保险与理赔带来的新要求，尤其是新型电池技术、电机控制系统等在保险责任认定、定损评估等方面带来的变革。</w:t>
      </w:r>
    </w:p>
    <w:p w14:paraId="1EE607E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（2）能力目标：能够熟练运用汽车保险与理赔知识，准确分析并有效解决汽车保险投保、定损、理赔过程中涉及的一般问题；正确且熟练地使用各类保险理赔工具和定损设备。</w:t>
      </w:r>
    </w:p>
    <w:p w14:paraId="4A58AB7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（3）素质目标：具备对新能源汽车保险与理赔领域钻研的热情；具有良好的团队合作精神，在保险理赔协作中有效沟通配合；具备一定的社会责任感和职业道德，秉持公平公正的理赔原则。</w:t>
      </w:r>
    </w:p>
    <w:p w14:paraId="091E9F2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1700C9F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（1）汽车保险与理赔总体认识；（2）汽车保险险种与条款；（3）汽车投保与核保流程；（4）汽车事故定损与理赔操作；（5）传统燃油汽车保险与理赔特点；（6）新能源汽车保险与理赔专题。</w:t>
      </w:r>
    </w:p>
    <w:p w14:paraId="22AA880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0321FDD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（1）教师要求：熟悉汽车保险与理赔各环节的操作流程和关联关系，具备较强的汽车保险与理赔理论知识和实践能力。</w:t>
      </w:r>
    </w:p>
    <w:p w14:paraId="0B8F65B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（2）教学条件：多媒体辅助课件，实践课在汽车保险理赔实训室，配置理赔案例仿真软件、虚拟定损实验室。</w:t>
      </w:r>
    </w:p>
    <w:p w14:paraId="4FA64CD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7B3C4B1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1D7ECD9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10.燃料电池汽车技术</w:t>
      </w:r>
    </w:p>
    <w:p w14:paraId="755DB90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0C3FABA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燃料电池汽车的基本构造，包括燃料电池系统、储氢系统、动力传递系统和电气控制系统等核心组成部分及其详细工作原理；清晰分辨燃料电池汽车与传统燃油汽车、纯电动汽车在构造上的差异与联系；深入了解燃料电池汽车领域的新技术应用，如新型燃料电池堆技术、高效储氢技术等在汽车构造方面带来的变革。</w:t>
      </w:r>
    </w:p>
    <w:p w14:paraId="4251CF2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（2）能力目标：能够熟练运用所学的燃料电池汽车技术理论知识，准确分析并有效解决燃料电池汽车维修、检测过程中涉及构造方面的一般问题；正确且熟练地使用各类燃料电池汽车专用维修工具和设备。</w:t>
      </w:r>
    </w:p>
    <w:p w14:paraId="7D650B2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（3）素质目标：具备对燃料电池汽车技术钻研的热情；具有良好的团队合作精神，具备一定的社会责任感和职业道德，关注燃料电池汽车在环保及能源利用方面的价值。</w:t>
      </w:r>
    </w:p>
    <w:p w14:paraId="0D75AC8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32B7859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（1）燃料电池汽车总体认识；（2）燃料电池系统构造；（3）储氢与供氢系统构造；（4）燃料电池汽车动力系统构造；（5）燃料电池汽车电气设备构造；（6）燃料电池汽车技术发展与应用专题。</w:t>
      </w:r>
    </w:p>
    <w:p w14:paraId="76055CE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12092F6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（1）教师要求：熟悉燃料电池汽车各部件的工作过程和装配关系，具备较强的燃料电池汽车技术理论知识和实践能力。</w:t>
      </w:r>
    </w:p>
    <w:p w14:paraId="7E563B4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（2）教学条件：多媒体辅助课件，实践课在燃料电池汽车实训室，配置燃料电池汽车构造仿真软件、虚拟实验室。</w:t>
      </w:r>
    </w:p>
    <w:p w14:paraId="765A71F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015E4CD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66A8A38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11.汽车专业英语</w:t>
      </w:r>
    </w:p>
    <w:p w14:paraId="149A62A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4468ED0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领域的专业英语词汇、术语及表达方式，涵盖发动机、底盘、车身、电气系统等汽车四大组成部分的英文表述；清晰分辨传统燃油汽车与新能源汽车在专业英语术语上的差异与联系；深入了解新能源汽车领域新技术（如新型电池技术、电机控制系统等）相关的英文专业词汇及文献表述特点。</w:t>
      </w:r>
    </w:p>
    <w:p w14:paraId="32CDC6D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专业英语知识，准确阅读和理解汽车构造相关的英文技术资料、维修手册及行业文献；能够运用专业英语词汇进行简单的汽车技术交流与书面表达，解决汽车技术相关的英语应用问题；正确使用各类汽车专业英语学习工具和资料查询平台。</w:t>
      </w:r>
    </w:p>
    <w:p w14:paraId="79D8B0E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领域专业英语学习的积极性和钻研精神；具有良好的团队合作精神，在英语学习与交流中有效协作；具备一定的国际视野和职业道德，尊重国际汽车行业的技术规范与交流习惯。</w:t>
      </w:r>
    </w:p>
    <w:p w14:paraId="5E064C8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478A239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（1）汽车专业英语基础知识；（2）发动机构造相关英语表达；（3）汽车底盘构造相关英语表达；（4）汽车车身构造相关英语表达；（5）汽车电气设备构造相关英语表达；（6）新能源汽车构造专题英语表达。</w:t>
      </w:r>
    </w:p>
    <w:p w14:paraId="792EE1C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72A4E6CF">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（1）教师要求：熟悉汽车各部件的英文术语及相关技术文献，具备扎实的汽车构造知识和专业英语应用能力。</w:t>
      </w:r>
    </w:p>
    <w:p w14:paraId="0E204B3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（2）教学条件：多媒体辅助课件（包含英文技术资料、术语对照表等），实践课可在语言实训室进行，配置汽车专业英语学习软件、英文技术文献数据库。</w:t>
      </w:r>
    </w:p>
    <w:p w14:paraId="15DF7BE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（3）教学方法：现场教学法、分组讨论法（英文案例分析）、直观演示法（英文技术视频讲解）、动手实践法（英文资料翻译练习）、自主学习法和任务驱动法（如完成某一汽车部件的英文说明翻译任务）。</w:t>
      </w:r>
    </w:p>
    <w:p w14:paraId="5EDEF00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2E344F9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12.汽车试验技术</w:t>
      </w:r>
    </w:p>
    <w:p w14:paraId="6CA7A05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10C6A89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试验的基本原理与方法，包括汽车各系统（发动机、底盘、车身、电气系统等）的试验标准、流程及评价指标；清晰分辨传统燃油汽车与新能源汽车在试验项目、试验要求上的差异与联系；深入了解汽车行业发展对试验技术带来的新变革，尤其是新能源汽车领域在新型电池性能试验、电机控制系统测试等方面的新技术应用。</w:t>
      </w:r>
    </w:p>
    <w:p w14:paraId="5B008B8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（2）能力目标：能够熟练运用汽车试验技术知识，准确分析并有效解决汽车试验过程中涉及构造与性能方面的一般问题；正确且熟练地使用各类汽车试验设备和仪器。</w:t>
      </w:r>
    </w:p>
    <w:p w14:paraId="549A35D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（3）素质目标：具备对新能源汽车试验技术钻研的热情；具有良好的团队合作精神，在试验过程中有效协作；具备一定的社会责任感和职业道德，确保试验数据的准确性和可靠性。</w:t>
      </w:r>
    </w:p>
    <w:p w14:paraId="55601E0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127F532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（1）汽车试验技术总体认识；（2）发动机试验技术；（3）汽车底盘试验技术；（4）汽车车身试验技术；（5）汽车电气设备试验技术；（6）新能源汽车试验技术专题。</w:t>
      </w:r>
    </w:p>
    <w:p w14:paraId="19C12CB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2610299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（1）教师要求：熟悉汽车各部件的试验流程和评价标准，具备较强的汽车试验技术理论知识和实践能力。</w:t>
      </w:r>
    </w:p>
    <w:p w14:paraId="40228B7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（2）教学条件：多媒体辅助课件，实践课在汽车试验实训室，配置汽车试验仿真软件、虚拟试验平台。</w:t>
      </w:r>
    </w:p>
    <w:p w14:paraId="4C84BD3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0B2C583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66F8CC0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13.汽车轻量化技术</w:t>
      </w:r>
    </w:p>
    <w:p w14:paraId="223EC93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6EB87E2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轻量化技术的基本原理与实现途径，包括轻量化材料（如高强度钢、铝合金、碳纤维复合材料等）的性能特点、应用场景及对汽车构造的影响，轻量化结构设计在汽车各部件（发动机、底盘、车身等）中的具体体现；清晰分辨传统燃油汽车与新能源汽车在轻量化需求和技术应用上的差异与联系，如新能源汽车因电池重量对轻量化的特殊要求；深入了解汽车轻量化领域的新技术应用，如新型复合材料成型技术、结构拓扑优化方法等在汽车构造轻量化方面带来的变革。</w:t>
      </w:r>
    </w:p>
    <w:p w14:paraId="3D81071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轻量化技术知识，准确分析不同轻量化方案对汽车性能（如安全性、能耗、操控性等）的影响，解决汽车设计、制造过程中涉及轻量化方面的一般问题；正确且熟练地使用与轻量化技术相关的检测工具和分析软件。</w:t>
      </w:r>
    </w:p>
    <w:p w14:paraId="2A81B7E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（3）素质目标：具备对汽车轻量化新技术钻研的热情；具有良好的团队合作精神，在轻量化方案设计与评估中有效协作；具备一定的社会责任感和职业道德，关注轻量化技术对汽车节能、减排的积极意义。</w:t>
      </w:r>
    </w:p>
    <w:p w14:paraId="55CE6C0B">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45953D0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轻量化技术总体认识；（2）轻量化材料及其在汽车构造中的应用；（3）汽车车身轻量化结构设计；（4）汽车底盘与发动机轻量化技术；（5）轻量化制造工艺与质量控制；（6）新能源汽车轻量化技术专题。</w:t>
      </w:r>
    </w:p>
    <w:p w14:paraId="6DE8A0B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0F24775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（1）教师要求：熟悉汽车各部件轻量化设计的原理和实现过程，了解不同轻量化材料的特性及装配关系，具备较强的汽车轻量化技术理论知识和实践能力。</w:t>
      </w:r>
    </w:p>
    <w:p w14:paraId="716BE04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（2）教学条件：多媒体辅助课件，实践课在汽车构造实训室，配置轻量化技术仿真软件、虚拟材料性能测试实验室。</w:t>
      </w:r>
    </w:p>
    <w:p w14:paraId="4F6F5CF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4C77AE2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0799623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14.汽车生产管理</w:t>
      </w:r>
    </w:p>
    <w:p w14:paraId="5268F37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44D3618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生产管理的基本流程与核心要素，包括汽车生产计划制定、生产线组织、质量控制、成本管理等内容，涵盖发动机、底盘、车身和电气系统等四大组成部分在生产环节的管理要点；清晰分辨传统燃油汽车与新能源汽车在生产管理上的差异与联系，如新能源汽车电池、电机等核心部件的生产组织特点；深入了解汽车行业发展对生产管理的新要求，尤其是新能源汽车领域新技术应用（如新型电池技术、电机控制系统等）带来的生产流程优化、供应链管理变革等。</w:t>
      </w:r>
    </w:p>
    <w:p w14:paraId="6B3AE65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（2）能力目标：能够熟练运用汽车生产管理知识，准确分析并有效解决汽车生产过程中涉及组织、调度、质量等方面的一般问题；正确且熟练地使用各类生产管理工具和相关软件。</w:t>
      </w:r>
    </w:p>
    <w:p w14:paraId="1192427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（3）素质目标：具备对新能源汽车生产管理模式钻研的热情；具有良好的团队合作精神，在生产管理协作中高效配合；具备一定的社会责任感和职业道德，重视生产安全与产品质量。</w:t>
      </w:r>
    </w:p>
    <w:p w14:paraId="5C3D710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6D7FEC0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（1）汽车生产管理总体认识；（2）汽车生产计划与调度管理；（3）汽车生产过程与现场管理；（4）汽车生产质量控制与管理；（5）汽车生产供应链管理；（6）新能源汽车生产管理专题。</w:t>
      </w:r>
    </w:p>
    <w:p w14:paraId="13BACB5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2EC6670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（1）教师要求：熟悉汽车各部件的生产流程和装配关系，具备较强的汽车生产管理理论知识和实践能力。</w:t>
      </w:r>
    </w:p>
    <w:p w14:paraId="7030DA1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（2）教学条件：多媒体辅助课件，实践课可在汽车生产仿真实训室进行，配置汽车生产管理仿真软件、虚拟生产管理实验室。</w:t>
      </w:r>
    </w:p>
    <w:p w14:paraId="4980FAA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1EE11C5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76E2F29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15.智能汽车环境感知技术</w:t>
      </w:r>
    </w:p>
    <w:p w14:paraId="5AA7A98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24F2945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智能汽车环境感知技术的基本原理与核心组成，包括传感器（如摄像头、雷达、激光雷达等）、数据处理单元及感知融合系统的构造与工作机制；清晰分辨传统燃油汽车与智能网联新能源汽车在环境感知系统构造上的差异与联系；深入了解新能源汽车领域中环境感知技术的新应用，如多传感器融合技术、高精度定位技术等在汽车环境感知构造方面带来的变革。</w:t>
      </w:r>
    </w:p>
    <w:p w14:paraId="6F27A44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（2）能力目标：能够熟练运用智能汽车环境感知技术知识，准确分析并有效解决环境感知系统在安装、调试、维修过程中涉及构造方面的一般问题；正确且熟练地使用各类环境感知系统检测工具和设备。</w:t>
      </w:r>
    </w:p>
    <w:p w14:paraId="343E1AE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（3）素质目标：具备对智能汽车环境感知技术钻研的热情；具有良好的团队合作精神，具备一定的社会责任感和职业道德，重视感知技术在提升行车安全中的作用。</w:t>
      </w:r>
    </w:p>
    <w:p w14:paraId="5826889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59226472">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智能汽车环境感知技术总体认识；（2）环境感知传感器构造与原理；（3）感知数据处理系统构造；（4）多传感器融合系统构造；（5）环境感知系统与整车控制接口技术；（6）新能源汽车环境感知技术专题。</w:t>
      </w:r>
    </w:p>
    <w:p w14:paraId="32FD344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6F140E84">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（1）教师要求：熟悉智能汽车环境感知各部件的工作过程和装配关系，具备较强的环境感知技术理论知识和实践能力。</w:t>
      </w:r>
    </w:p>
    <w:p w14:paraId="0CAC35B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（2）教学条件：多媒体辅助课件，实践课在智能汽车技术实训室，配置环境感知系统仿真软件、虚拟实验室。</w:t>
      </w:r>
    </w:p>
    <w:p w14:paraId="56E0BFD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3F982B7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5AF54FF6">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eastAsia"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16.汽车性能仿真与评价</w:t>
      </w:r>
    </w:p>
    <w:p w14:paraId="049E43E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课程目标:</w:t>
      </w:r>
    </w:p>
    <w:p w14:paraId="4169EF3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知识目标：全面理解并熟练掌握汽车性能仿真与评价的基本原理和方法，包括汽车动力性、经济性、操纵稳定性等核心性能的仿真模型构建及评价指标；清晰分辨传统燃油汽车与新能源汽车在性能仿真与评价方面的差异与联系，如新能源汽车电机驱动特性、电池能量管理对性能仿真的影响；深入了解汽车行业发展对性能仿真与评价技术的新要求，尤其是新能源汽车领域新技术（如新型电池技术、电机控制系统等）在仿真模型构建和性能评价体系方面带来的变革。</w:t>
      </w:r>
    </w:p>
    <w:p w14:paraId="15D3678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（2）能力目标：能够熟练运用汽车性能仿真与评价知识，准确分析并有效解决汽车性能仿真过程中涉及构造与参数设置方面的一般问题；正确且熟练地使用各类汽车性能仿真软件和评价工具。</w:t>
      </w:r>
    </w:p>
    <w:p w14:paraId="1BDE9E90">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（3）素质目标：具备对新能源汽车性能仿真与评价技术钻研的热情；具有良好的团队合作精神，在仿真与评价协作中高效配合；具备一定的社会责任感和职业道德，确保仿真结果的客观性和评价的科学性。</w:t>
      </w:r>
    </w:p>
    <w:p w14:paraId="47F8C46A">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主要内容:</w:t>
      </w:r>
    </w:p>
    <w:p w14:paraId="4DFFE157">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（1）汽车性能仿真与评价总体认识；（2）汽车动力性与经济性仿真；（3）汽车操纵稳定性与制动性仿真；（4）传统汽车性能评价体系；（5）新能源汽车性能仿真特点；（6）新能源汽车性能评价专题。</w:t>
      </w:r>
    </w:p>
    <w:p w14:paraId="01A97B83">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2" w:firstLineChars="200"/>
        <w:textAlignment w:val="auto"/>
        <w:rPr>
          <w:rFonts w:hint="default" w:ascii="宋体" w:hAnsi="宋体" w:eastAsia="宋体" w:cs="宋体"/>
          <w:b/>
          <w:bCs w:val="0"/>
          <w:kern w:val="2"/>
          <w:sz w:val="21"/>
          <w:szCs w:val="21"/>
          <w:lang w:val="en-US" w:eastAsia="zh-CN" w:bidi="ar-SA"/>
        </w:rPr>
      </w:pPr>
      <w:r>
        <w:rPr>
          <w:rFonts w:hint="eastAsia" w:ascii="宋体" w:hAnsi="宋体" w:eastAsia="宋体" w:cs="宋体"/>
          <w:b/>
          <w:bCs w:val="0"/>
          <w:kern w:val="2"/>
          <w:sz w:val="21"/>
          <w:szCs w:val="21"/>
          <w:lang w:val="en-US" w:eastAsia="zh-CN" w:bidi="ar-SA"/>
        </w:rPr>
        <w:t>教学要求:</w:t>
      </w:r>
    </w:p>
    <w:p w14:paraId="120BA51C">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（1）教师要求：熟悉汽车各系统对性能的影响及仿真模型构建原理，具备较强的汽车性能仿真与评价理论知识和实践能力。</w:t>
      </w:r>
    </w:p>
    <w:p w14:paraId="0087330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（2）教学条件：多媒体辅助课件，实践课在汽车仿真实训室，配置汽车性能仿真软件、虚拟评价平台。</w:t>
      </w:r>
    </w:p>
    <w:p w14:paraId="24F87AD1">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（3）教学方法：现场教学法、分组讨论法、直观演示法、动手实践法、自主学习法和任务驱动法。</w:t>
      </w:r>
    </w:p>
    <w:p w14:paraId="118AAC38">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kern w:val="2"/>
          <w:sz w:val="21"/>
          <w:szCs w:val="21"/>
          <w:lang w:val="en-US" w:eastAsia="zh-CN" w:bidi="ar-SA"/>
        </w:rPr>
      </w:pPr>
      <w:r>
        <w:rPr>
          <w:rFonts w:hint="eastAsia" w:ascii="宋体" w:hAnsi="宋体" w:eastAsia="宋体" w:cs="宋体"/>
          <w:b w:val="0"/>
          <w:bCs/>
          <w:kern w:val="2"/>
          <w:sz w:val="21"/>
          <w:szCs w:val="21"/>
          <w:lang w:val="en-US" w:eastAsia="zh-CN" w:bidi="ar-SA"/>
        </w:rPr>
        <w:t>（4）考核评价：过程考核占30%+综合考核占70%。</w:t>
      </w:r>
    </w:p>
    <w:p w14:paraId="42621448">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default" w:ascii="宋体" w:hAnsi="宋体" w:eastAsia="宋体" w:cs="宋体"/>
          <w:b/>
          <w:szCs w:val="32"/>
          <w:lang w:val="en-US" w:eastAsia="zh-CN"/>
        </w:rPr>
      </w:pPr>
      <w:r>
        <w:rPr>
          <w:rFonts w:hint="eastAsia" w:ascii="宋体" w:hAnsi="宋体" w:eastAsia="宋体" w:cs="宋体"/>
          <w:b/>
          <w:szCs w:val="32"/>
          <w:lang w:val="en-US" w:eastAsia="zh-CN"/>
        </w:rPr>
        <w:t>（三）专业集中实践（技能）课程</w:t>
      </w:r>
    </w:p>
    <w:p w14:paraId="651EC7A6">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表4专业集中实践（技能）课程设置表</w:t>
      </w:r>
    </w:p>
    <w:tbl>
      <w:tblPr>
        <w:tblStyle w:val="12"/>
        <w:tblW w:w="9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555"/>
        <w:gridCol w:w="1090"/>
        <w:gridCol w:w="2916"/>
        <w:gridCol w:w="630"/>
        <w:gridCol w:w="680"/>
        <w:gridCol w:w="530"/>
        <w:gridCol w:w="1557"/>
        <w:gridCol w:w="1244"/>
      </w:tblGrid>
      <w:tr w14:paraId="50DED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14" w:hRule="exact"/>
          <w:jc w:val="center"/>
        </w:trPr>
        <w:tc>
          <w:tcPr>
            <w:tcW w:w="555" w:type="dxa"/>
            <w:noWrap w:val="0"/>
            <w:vAlign w:val="center"/>
          </w:tcPr>
          <w:p w14:paraId="483FCC4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序号</w:t>
            </w:r>
          </w:p>
        </w:tc>
        <w:tc>
          <w:tcPr>
            <w:tcW w:w="1090" w:type="dxa"/>
            <w:noWrap w:val="0"/>
            <w:vAlign w:val="center"/>
          </w:tcPr>
          <w:p w14:paraId="2C2475F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课程编码</w:t>
            </w:r>
          </w:p>
        </w:tc>
        <w:tc>
          <w:tcPr>
            <w:tcW w:w="2916" w:type="dxa"/>
            <w:noWrap w:val="0"/>
            <w:vAlign w:val="center"/>
          </w:tcPr>
          <w:p w14:paraId="736DBD8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课程名称</w:t>
            </w:r>
          </w:p>
        </w:tc>
        <w:tc>
          <w:tcPr>
            <w:tcW w:w="630" w:type="dxa"/>
            <w:noWrap w:val="0"/>
            <w:vAlign w:val="center"/>
          </w:tcPr>
          <w:p w14:paraId="300C606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实践周数</w:t>
            </w:r>
          </w:p>
        </w:tc>
        <w:tc>
          <w:tcPr>
            <w:tcW w:w="680" w:type="dxa"/>
            <w:noWrap w:val="0"/>
            <w:vAlign w:val="center"/>
          </w:tcPr>
          <w:p w14:paraId="1B5A1A0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学分</w:t>
            </w:r>
          </w:p>
        </w:tc>
        <w:tc>
          <w:tcPr>
            <w:tcW w:w="530" w:type="dxa"/>
            <w:noWrap w:val="0"/>
            <w:vAlign w:val="center"/>
          </w:tcPr>
          <w:p w14:paraId="2EA620D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开设学期</w:t>
            </w:r>
          </w:p>
        </w:tc>
        <w:tc>
          <w:tcPr>
            <w:tcW w:w="1557" w:type="dxa"/>
            <w:noWrap w:val="0"/>
            <w:vAlign w:val="center"/>
          </w:tcPr>
          <w:p w14:paraId="7FD769DC">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实施地点</w:t>
            </w:r>
          </w:p>
        </w:tc>
        <w:tc>
          <w:tcPr>
            <w:tcW w:w="1244" w:type="dxa"/>
            <w:noWrap w:val="0"/>
            <w:vAlign w:val="center"/>
          </w:tcPr>
          <w:p w14:paraId="402554D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594CC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82" w:hRule="exact"/>
          <w:jc w:val="center"/>
        </w:trPr>
        <w:tc>
          <w:tcPr>
            <w:tcW w:w="555" w:type="dxa"/>
            <w:noWrap w:val="0"/>
            <w:vAlign w:val="center"/>
          </w:tcPr>
          <w:p w14:paraId="4C4199DB">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1</w:t>
            </w:r>
          </w:p>
        </w:tc>
        <w:tc>
          <w:tcPr>
            <w:tcW w:w="1090" w:type="dxa"/>
            <w:shd w:val="clear" w:color="auto" w:fill="auto"/>
            <w:noWrap w:val="0"/>
            <w:vAlign w:val="center"/>
          </w:tcPr>
          <w:p w14:paraId="4DE5DABD">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rPr>
              <w:t>1224546007</w:t>
            </w:r>
          </w:p>
        </w:tc>
        <w:tc>
          <w:tcPr>
            <w:tcW w:w="2916" w:type="dxa"/>
            <w:shd w:val="clear" w:color="auto" w:fill="auto"/>
            <w:noWrap w:val="0"/>
            <w:vAlign w:val="center"/>
          </w:tcPr>
          <w:p w14:paraId="15634852">
            <w:pPr>
              <w:keepNext w:val="0"/>
              <w:keepLines w:val="0"/>
              <w:pageBreakBefore w:val="0"/>
              <w:wordWrap/>
              <w:topLinePunct w:val="0"/>
              <w:bidi w:val="0"/>
              <w:adjustRightInd w:val="0"/>
              <w:spacing w:line="240" w:lineRule="auto"/>
              <w:ind w:left="0" w:right="0"/>
              <w:jc w:val="left"/>
              <w:rPr>
                <w:rFonts w:hint="eastAsia" w:ascii="Times New Roman" w:hAnsi="Times New Roman" w:eastAsia="宋体" w:cs="Times New Roman"/>
                <w:b w:val="0"/>
                <w:bCs/>
                <w:color w:val="auto"/>
                <w:kern w:val="0"/>
                <w:sz w:val="17"/>
                <w:szCs w:val="17"/>
                <w:lang w:val="en-US" w:eastAsia="zh-CN" w:bidi="ar"/>
              </w:rPr>
            </w:pPr>
            <w:r>
              <w:rPr>
                <w:rFonts w:hint="eastAsia" w:ascii="Times New Roman" w:hAnsi="Times New Roman" w:eastAsia="宋体" w:cs="Times New Roman"/>
                <w:b w:val="0"/>
                <w:bCs/>
                <w:color w:val="auto"/>
                <w:kern w:val="0"/>
                <w:sz w:val="17"/>
                <w:szCs w:val="17"/>
                <w:lang w:val="en-US" w:eastAsia="zh-CN" w:bidi="ar"/>
              </w:rPr>
              <w:t>电工电子实训</w:t>
            </w:r>
          </w:p>
          <w:p w14:paraId="250639D9">
            <w:pPr>
              <w:keepNext w:val="0"/>
              <w:keepLines w:val="0"/>
              <w:pageBreakBefore w:val="0"/>
              <w:wordWrap/>
              <w:topLinePunct w:val="0"/>
              <w:bidi w:val="0"/>
              <w:adjustRightInd w:val="0"/>
              <w:spacing w:line="240" w:lineRule="auto"/>
              <w:ind w:left="0" w:right="0"/>
              <w:jc w:val="left"/>
              <w:rPr>
                <w:rFonts w:hint="eastAsia" w:ascii="Times New Roman" w:hAnsi="Times New Roman" w:cs="Times New Roman" w:eastAsiaTheme="minorEastAsia"/>
                <w:bCs/>
                <w:kern w:val="0"/>
                <w:sz w:val="17"/>
                <w:szCs w:val="17"/>
                <w:highlight w:val="none"/>
                <w:lang w:val="en-US" w:eastAsia="zh-CN" w:bidi="ar-SA"/>
              </w:rPr>
            </w:pPr>
            <w:r>
              <w:rPr>
                <w:rFonts w:hint="default" w:ascii="Times New Roman" w:hAnsi="Times New Roman" w:eastAsia="宋体" w:cs="Times New Roman"/>
                <w:b w:val="0"/>
                <w:bCs/>
                <w:color w:val="auto"/>
                <w:kern w:val="0"/>
                <w:sz w:val="17"/>
                <w:szCs w:val="17"/>
                <w:lang w:val="en-US" w:eastAsia="zh-CN" w:bidi="ar"/>
              </w:rPr>
              <w:t xml:space="preserve">Practical </w:t>
            </w:r>
            <w:r>
              <w:rPr>
                <w:rFonts w:hint="eastAsia" w:ascii="Times New Roman" w:hAnsi="Times New Roman" w:eastAsia="宋体" w:cs="Times New Roman"/>
                <w:b w:val="0"/>
                <w:bCs/>
                <w:color w:val="auto"/>
                <w:kern w:val="0"/>
                <w:sz w:val="17"/>
                <w:szCs w:val="17"/>
                <w:lang w:val="en-US" w:eastAsia="zh-CN" w:bidi="ar"/>
              </w:rPr>
              <w:t>T</w:t>
            </w:r>
            <w:r>
              <w:rPr>
                <w:rFonts w:hint="default" w:ascii="Times New Roman" w:hAnsi="Times New Roman" w:eastAsia="宋体" w:cs="Times New Roman"/>
                <w:b w:val="0"/>
                <w:bCs/>
                <w:color w:val="auto"/>
                <w:kern w:val="0"/>
                <w:sz w:val="17"/>
                <w:szCs w:val="17"/>
                <w:lang w:val="en-US" w:eastAsia="zh-CN" w:bidi="ar"/>
              </w:rPr>
              <w:t xml:space="preserve">raining of </w:t>
            </w:r>
            <w:r>
              <w:rPr>
                <w:rFonts w:hint="eastAsia" w:ascii="Times New Roman" w:hAnsi="Times New Roman" w:eastAsia="宋体" w:cs="Times New Roman"/>
                <w:b w:val="0"/>
                <w:bCs/>
                <w:color w:val="auto"/>
                <w:kern w:val="0"/>
                <w:sz w:val="17"/>
                <w:szCs w:val="17"/>
                <w:lang w:val="en-US" w:eastAsia="zh-CN" w:bidi="ar"/>
              </w:rPr>
              <w:t>E</w:t>
            </w:r>
            <w:r>
              <w:rPr>
                <w:rFonts w:hint="default" w:ascii="Times New Roman" w:hAnsi="Times New Roman" w:eastAsia="宋体" w:cs="Times New Roman"/>
                <w:b w:val="0"/>
                <w:bCs/>
                <w:color w:val="auto"/>
                <w:kern w:val="0"/>
                <w:sz w:val="17"/>
                <w:szCs w:val="17"/>
                <w:lang w:val="en-US" w:eastAsia="zh-CN" w:bidi="ar"/>
              </w:rPr>
              <w:t>lectricians</w:t>
            </w:r>
          </w:p>
        </w:tc>
        <w:tc>
          <w:tcPr>
            <w:tcW w:w="630" w:type="dxa"/>
            <w:shd w:val="clear" w:color="auto" w:fill="auto"/>
            <w:noWrap w:val="0"/>
            <w:vAlign w:val="center"/>
          </w:tcPr>
          <w:p w14:paraId="2BAB6DD5">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rPr>
              <w:t>1</w:t>
            </w:r>
          </w:p>
        </w:tc>
        <w:tc>
          <w:tcPr>
            <w:tcW w:w="680" w:type="dxa"/>
            <w:shd w:val="clear" w:color="auto" w:fill="auto"/>
            <w:noWrap w:val="0"/>
            <w:vAlign w:val="center"/>
          </w:tcPr>
          <w:p w14:paraId="4B57DC24">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lang w:val="en-US" w:eastAsia="zh-CN"/>
              </w:rPr>
              <w:t>1</w:t>
            </w:r>
          </w:p>
        </w:tc>
        <w:tc>
          <w:tcPr>
            <w:tcW w:w="530" w:type="dxa"/>
            <w:shd w:val="clear" w:color="auto" w:fill="auto"/>
            <w:noWrap w:val="0"/>
            <w:vAlign w:val="center"/>
          </w:tcPr>
          <w:p w14:paraId="0D937FFE">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rPr>
              <w:t>2</w:t>
            </w:r>
          </w:p>
        </w:tc>
        <w:tc>
          <w:tcPr>
            <w:tcW w:w="1557" w:type="dxa"/>
            <w:noWrap w:val="0"/>
            <w:vAlign w:val="center"/>
          </w:tcPr>
          <w:p w14:paraId="5AEDBED9">
            <w:pPr>
              <w:keepNext w:val="0"/>
              <w:keepLines w:val="0"/>
              <w:pageBreakBefore w:val="0"/>
              <w:wordWrap/>
              <w:topLinePunct w:val="0"/>
              <w:bidi w:val="0"/>
              <w:adjustRightInd w:val="0"/>
              <w:spacing w:line="240" w:lineRule="auto"/>
              <w:ind w:left="0" w:right="0"/>
              <w:jc w:val="center"/>
              <w:rPr>
                <w:rFonts w:hint="default"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校内</w:t>
            </w:r>
          </w:p>
        </w:tc>
        <w:tc>
          <w:tcPr>
            <w:tcW w:w="1244" w:type="dxa"/>
            <w:noWrap w:val="0"/>
            <w:vAlign w:val="center"/>
          </w:tcPr>
          <w:p w14:paraId="76AD5CF6">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p>
        </w:tc>
      </w:tr>
      <w:tr w14:paraId="1DA2F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670" w:hRule="exact"/>
          <w:jc w:val="center"/>
        </w:trPr>
        <w:tc>
          <w:tcPr>
            <w:tcW w:w="555" w:type="dxa"/>
            <w:noWrap w:val="0"/>
            <w:vAlign w:val="center"/>
          </w:tcPr>
          <w:p w14:paraId="3DA67D26">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2</w:t>
            </w:r>
          </w:p>
        </w:tc>
        <w:tc>
          <w:tcPr>
            <w:tcW w:w="1090" w:type="dxa"/>
            <w:shd w:val="clear" w:color="auto" w:fill="auto"/>
            <w:noWrap w:val="0"/>
            <w:vAlign w:val="center"/>
          </w:tcPr>
          <w:p w14:paraId="2692C1FA">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rPr>
              <w:t>1224546008</w:t>
            </w:r>
          </w:p>
        </w:tc>
        <w:tc>
          <w:tcPr>
            <w:tcW w:w="2916" w:type="dxa"/>
            <w:shd w:val="clear" w:color="auto" w:fill="auto"/>
            <w:noWrap w:val="0"/>
            <w:vAlign w:val="center"/>
          </w:tcPr>
          <w:p w14:paraId="20D4B062">
            <w:pPr>
              <w:keepNext w:val="0"/>
              <w:keepLines w:val="0"/>
              <w:pageBreakBefore w:val="0"/>
              <w:wordWrap/>
              <w:topLinePunct w:val="0"/>
              <w:bidi w:val="0"/>
              <w:adjustRightInd w:val="0"/>
              <w:spacing w:line="240" w:lineRule="auto"/>
              <w:ind w:left="0" w:right="0"/>
              <w:jc w:val="left"/>
              <w:rPr>
                <w:rFonts w:hint="eastAsia" w:ascii="Times New Roman" w:hAnsi="Times New Roman" w:eastAsia="宋体" w:cs="Times New Roman"/>
                <w:b w:val="0"/>
                <w:bCs/>
                <w:color w:val="auto"/>
                <w:kern w:val="0"/>
                <w:sz w:val="17"/>
                <w:szCs w:val="17"/>
                <w:lang w:val="en-US" w:eastAsia="zh-CN" w:bidi="ar"/>
              </w:rPr>
            </w:pPr>
            <w:r>
              <w:rPr>
                <w:rFonts w:hint="eastAsia" w:ascii="Times New Roman" w:hAnsi="Times New Roman" w:eastAsia="宋体" w:cs="Times New Roman"/>
                <w:b w:val="0"/>
                <w:bCs/>
                <w:color w:val="auto"/>
                <w:kern w:val="0"/>
                <w:sz w:val="17"/>
                <w:szCs w:val="17"/>
                <w:lang w:val="en-US" w:eastAsia="zh-CN" w:bidi="ar"/>
              </w:rPr>
              <w:t>汽车拆装实训</w:t>
            </w:r>
          </w:p>
          <w:p w14:paraId="6A61E6E4">
            <w:pPr>
              <w:keepNext w:val="0"/>
              <w:keepLines w:val="0"/>
              <w:pageBreakBefore w:val="0"/>
              <w:wordWrap/>
              <w:topLinePunct w:val="0"/>
              <w:bidi w:val="0"/>
              <w:adjustRightInd w:val="0"/>
              <w:spacing w:line="240" w:lineRule="auto"/>
              <w:ind w:left="0" w:right="0"/>
              <w:jc w:val="left"/>
              <w:rPr>
                <w:rFonts w:hint="eastAsia" w:ascii="Times New Roman" w:hAnsi="Times New Roman" w:cs="Times New Roman" w:eastAsiaTheme="minorEastAsia"/>
                <w:bCs/>
                <w:kern w:val="0"/>
                <w:sz w:val="17"/>
                <w:szCs w:val="17"/>
                <w:highlight w:val="none"/>
                <w:lang w:val="en-US" w:eastAsia="zh-CN" w:bidi="ar-SA"/>
              </w:rPr>
            </w:pPr>
            <w:r>
              <w:rPr>
                <w:rFonts w:hint="default" w:ascii="Times New Roman" w:hAnsi="Times New Roman" w:eastAsia="宋体" w:cs="Times New Roman"/>
                <w:b w:val="0"/>
                <w:bCs/>
                <w:color w:val="auto"/>
                <w:kern w:val="0"/>
                <w:sz w:val="17"/>
                <w:szCs w:val="17"/>
                <w:lang w:val="en-US" w:eastAsia="zh-CN" w:bidi="ar"/>
              </w:rPr>
              <w:t xml:space="preserve">Car </w:t>
            </w:r>
            <w:r>
              <w:rPr>
                <w:rFonts w:hint="eastAsia" w:ascii="Times New Roman" w:hAnsi="Times New Roman" w:eastAsia="宋体" w:cs="Times New Roman"/>
                <w:b w:val="0"/>
                <w:bCs/>
                <w:color w:val="auto"/>
                <w:kern w:val="0"/>
                <w:sz w:val="17"/>
                <w:szCs w:val="17"/>
                <w:lang w:val="en-US" w:eastAsia="zh-CN" w:bidi="ar"/>
              </w:rPr>
              <w:t>D</w:t>
            </w:r>
            <w:r>
              <w:rPr>
                <w:rFonts w:hint="default" w:ascii="Times New Roman" w:hAnsi="Times New Roman" w:eastAsia="宋体" w:cs="Times New Roman"/>
                <w:b w:val="0"/>
                <w:bCs/>
                <w:color w:val="auto"/>
                <w:kern w:val="0"/>
                <w:sz w:val="17"/>
                <w:szCs w:val="17"/>
                <w:lang w:val="en-US" w:eastAsia="zh-CN" w:bidi="ar"/>
              </w:rPr>
              <w:t xml:space="preserve">isassembly and </w:t>
            </w:r>
            <w:r>
              <w:rPr>
                <w:rFonts w:hint="eastAsia" w:ascii="Times New Roman" w:hAnsi="Times New Roman" w:eastAsia="宋体" w:cs="Times New Roman"/>
                <w:b w:val="0"/>
                <w:bCs/>
                <w:color w:val="auto"/>
                <w:kern w:val="0"/>
                <w:sz w:val="17"/>
                <w:szCs w:val="17"/>
                <w:lang w:val="en-US" w:eastAsia="zh-CN" w:bidi="ar"/>
              </w:rPr>
              <w:t>I</w:t>
            </w:r>
            <w:r>
              <w:rPr>
                <w:rFonts w:hint="default" w:ascii="Times New Roman" w:hAnsi="Times New Roman" w:eastAsia="宋体" w:cs="Times New Roman"/>
                <w:b w:val="0"/>
                <w:bCs/>
                <w:color w:val="auto"/>
                <w:kern w:val="0"/>
                <w:sz w:val="17"/>
                <w:szCs w:val="17"/>
                <w:lang w:val="en-US" w:eastAsia="zh-CN" w:bidi="ar"/>
              </w:rPr>
              <w:t xml:space="preserve">nstallation </w:t>
            </w:r>
            <w:r>
              <w:rPr>
                <w:rFonts w:hint="eastAsia" w:ascii="Times New Roman" w:hAnsi="Times New Roman" w:eastAsia="宋体" w:cs="Times New Roman"/>
                <w:b w:val="0"/>
                <w:bCs/>
                <w:color w:val="auto"/>
                <w:kern w:val="0"/>
                <w:sz w:val="17"/>
                <w:szCs w:val="17"/>
                <w:lang w:val="en-US" w:eastAsia="zh-CN" w:bidi="ar"/>
              </w:rPr>
              <w:t>T</w:t>
            </w:r>
            <w:r>
              <w:rPr>
                <w:rFonts w:hint="default" w:ascii="Times New Roman" w:hAnsi="Times New Roman" w:eastAsia="宋体" w:cs="Times New Roman"/>
                <w:b w:val="0"/>
                <w:bCs/>
                <w:color w:val="auto"/>
                <w:kern w:val="0"/>
                <w:sz w:val="17"/>
                <w:szCs w:val="17"/>
                <w:lang w:val="en-US" w:eastAsia="zh-CN" w:bidi="ar"/>
              </w:rPr>
              <w:t>raining</w:t>
            </w:r>
          </w:p>
        </w:tc>
        <w:tc>
          <w:tcPr>
            <w:tcW w:w="630" w:type="dxa"/>
            <w:shd w:val="clear" w:color="auto" w:fill="auto"/>
            <w:noWrap w:val="0"/>
            <w:vAlign w:val="center"/>
          </w:tcPr>
          <w:p w14:paraId="50F72610">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rPr>
              <w:t>1</w:t>
            </w:r>
          </w:p>
        </w:tc>
        <w:tc>
          <w:tcPr>
            <w:tcW w:w="680" w:type="dxa"/>
            <w:shd w:val="clear" w:color="auto" w:fill="auto"/>
            <w:noWrap w:val="0"/>
            <w:vAlign w:val="center"/>
          </w:tcPr>
          <w:p w14:paraId="5EDC5CE0">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lang w:val="en-US" w:eastAsia="zh-CN"/>
              </w:rPr>
              <w:t>1</w:t>
            </w:r>
          </w:p>
        </w:tc>
        <w:tc>
          <w:tcPr>
            <w:tcW w:w="530" w:type="dxa"/>
            <w:shd w:val="clear" w:color="auto" w:fill="auto"/>
            <w:noWrap w:val="0"/>
            <w:vAlign w:val="center"/>
          </w:tcPr>
          <w:p w14:paraId="73D8A1CF">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rPr>
              <w:t>3</w:t>
            </w:r>
          </w:p>
        </w:tc>
        <w:tc>
          <w:tcPr>
            <w:tcW w:w="1557" w:type="dxa"/>
            <w:shd w:val="clear" w:color="auto" w:fill="auto"/>
            <w:noWrap w:val="0"/>
            <w:vAlign w:val="center"/>
          </w:tcPr>
          <w:p w14:paraId="50C959B3">
            <w:pPr>
              <w:keepNext w:val="0"/>
              <w:keepLines w:val="0"/>
              <w:pageBreakBefore w:val="0"/>
              <w:wordWrap/>
              <w:topLinePunct w:val="0"/>
              <w:bidi w:val="0"/>
              <w:adjustRightInd w:val="0"/>
              <w:spacing w:line="240" w:lineRule="auto"/>
              <w:ind w:left="0" w:right="0"/>
              <w:jc w:val="center"/>
              <w:rPr>
                <w:rFonts w:hint="default" w:ascii="Times New Roman" w:hAnsi="Times New Roman" w:eastAsia="宋体" w:cs="Times New Roman"/>
                <w:b w:val="0"/>
                <w:bCs/>
                <w:color w:val="auto"/>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校内</w:t>
            </w:r>
          </w:p>
        </w:tc>
        <w:tc>
          <w:tcPr>
            <w:tcW w:w="1244" w:type="dxa"/>
            <w:noWrap w:val="0"/>
            <w:vAlign w:val="center"/>
          </w:tcPr>
          <w:p w14:paraId="2BB39F2C">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p>
        </w:tc>
      </w:tr>
      <w:tr w14:paraId="2B465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noWrap w:val="0"/>
            <w:vAlign w:val="center"/>
          </w:tcPr>
          <w:p w14:paraId="3203C69A">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r>
              <w:rPr>
                <w:rFonts w:hint="eastAsia" w:ascii="Times New Roman" w:hAnsi="Times New Roman" w:eastAsia="宋体" w:cs="Times New Roman"/>
                <w:b w:val="0"/>
                <w:bCs/>
                <w:color w:val="auto"/>
                <w:kern w:val="0"/>
                <w:sz w:val="18"/>
                <w:szCs w:val="18"/>
                <w:lang w:val="en-US" w:eastAsia="zh-CN" w:bidi="ar"/>
              </w:rPr>
              <w:t>3</w:t>
            </w:r>
          </w:p>
        </w:tc>
        <w:tc>
          <w:tcPr>
            <w:tcW w:w="1090" w:type="dxa"/>
            <w:shd w:val="clear" w:color="auto" w:fill="auto"/>
            <w:noWrap w:val="0"/>
            <w:vAlign w:val="center"/>
          </w:tcPr>
          <w:p w14:paraId="25293EB8">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rPr>
              <w:t>1224546009</w:t>
            </w:r>
          </w:p>
        </w:tc>
        <w:tc>
          <w:tcPr>
            <w:tcW w:w="2916" w:type="dxa"/>
            <w:shd w:val="clear" w:color="auto" w:fill="auto"/>
            <w:noWrap w:val="0"/>
            <w:vAlign w:val="center"/>
          </w:tcPr>
          <w:p w14:paraId="5B40B89B">
            <w:pPr>
              <w:keepNext w:val="0"/>
              <w:keepLines w:val="0"/>
              <w:pageBreakBefore w:val="0"/>
              <w:wordWrap/>
              <w:topLinePunct w:val="0"/>
              <w:bidi w:val="0"/>
              <w:adjustRightInd w:val="0"/>
              <w:spacing w:line="240" w:lineRule="auto"/>
              <w:ind w:left="0" w:right="0"/>
              <w:jc w:val="left"/>
              <w:rPr>
                <w:rFonts w:hint="eastAsia" w:ascii="Times New Roman" w:hAnsi="Times New Roman" w:eastAsia="宋体" w:cs="Times New Roman"/>
                <w:b w:val="0"/>
                <w:bCs/>
                <w:color w:val="auto"/>
                <w:kern w:val="0"/>
                <w:sz w:val="17"/>
                <w:szCs w:val="17"/>
                <w:lang w:val="en-US" w:eastAsia="zh-CN" w:bidi="ar"/>
              </w:rPr>
            </w:pPr>
            <w:r>
              <w:rPr>
                <w:rFonts w:hint="eastAsia" w:ascii="Times New Roman" w:hAnsi="Times New Roman" w:eastAsia="宋体" w:cs="Times New Roman"/>
                <w:b w:val="0"/>
                <w:bCs/>
                <w:color w:val="auto"/>
                <w:kern w:val="0"/>
                <w:sz w:val="17"/>
                <w:szCs w:val="17"/>
                <w:lang w:val="en-US" w:eastAsia="zh-CN" w:bidi="ar"/>
              </w:rPr>
              <w:t>新能源汽车维修实训</w:t>
            </w:r>
          </w:p>
          <w:p w14:paraId="0F88DD6A">
            <w:pPr>
              <w:keepNext w:val="0"/>
              <w:keepLines w:val="0"/>
              <w:pageBreakBefore w:val="0"/>
              <w:wordWrap/>
              <w:topLinePunct w:val="0"/>
              <w:bidi w:val="0"/>
              <w:adjustRightInd w:val="0"/>
              <w:spacing w:line="240" w:lineRule="auto"/>
              <w:ind w:left="0" w:right="0"/>
              <w:jc w:val="left"/>
              <w:rPr>
                <w:rFonts w:hint="eastAsia" w:ascii="Times New Roman" w:hAnsi="Times New Roman" w:cs="Times New Roman" w:eastAsiaTheme="minorEastAsia"/>
                <w:bCs/>
                <w:kern w:val="0"/>
                <w:sz w:val="17"/>
                <w:szCs w:val="17"/>
                <w:highlight w:val="none"/>
                <w:lang w:val="en-US" w:eastAsia="zh-CN" w:bidi="ar-SA"/>
              </w:rPr>
            </w:pPr>
            <w:r>
              <w:rPr>
                <w:rFonts w:hint="default" w:ascii="Times New Roman" w:hAnsi="Times New Roman" w:eastAsia="宋体" w:cs="Times New Roman"/>
                <w:b w:val="0"/>
                <w:bCs/>
                <w:color w:val="auto"/>
                <w:kern w:val="0"/>
                <w:sz w:val="17"/>
                <w:szCs w:val="17"/>
                <w:lang w:val="en-US" w:eastAsia="zh-CN" w:bidi="ar"/>
              </w:rPr>
              <w:t xml:space="preserve">New </w:t>
            </w:r>
            <w:r>
              <w:rPr>
                <w:rFonts w:hint="eastAsia" w:ascii="Times New Roman" w:hAnsi="Times New Roman" w:eastAsia="宋体" w:cs="Times New Roman"/>
                <w:b w:val="0"/>
                <w:bCs/>
                <w:color w:val="auto"/>
                <w:kern w:val="0"/>
                <w:sz w:val="17"/>
                <w:szCs w:val="17"/>
                <w:lang w:val="en-US" w:eastAsia="zh-CN" w:bidi="ar"/>
              </w:rPr>
              <w:t>E</w:t>
            </w:r>
            <w:r>
              <w:rPr>
                <w:rFonts w:hint="default" w:ascii="Times New Roman" w:hAnsi="Times New Roman" w:eastAsia="宋体" w:cs="Times New Roman"/>
                <w:b w:val="0"/>
                <w:bCs/>
                <w:color w:val="auto"/>
                <w:kern w:val="0"/>
                <w:sz w:val="17"/>
                <w:szCs w:val="17"/>
                <w:lang w:val="en-US" w:eastAsia="zh-CN" w:bidi="ar"/>
              </w:rPr>
              <w:t xml:space="preserve">nergy </w:t>
            </w:r>
            <w:r>
              <w:rPr>
                <w:rFonts w:hint="eastAsia" w:ascii="Times New Roman" w:hAnsi="Times New Roman" w:eastAsia="宋体" w:cs="Times New Roman"/>
                <w:b w:val="0"/>
                <w:bCs/>
                <w:color w:val="auto"/>
                <w:kern w:val="0"/>
                <w:sz w:val="17"/>
                <w:szCs w:val="17"/>
                <w:lang w:val="en-US" w:eastAsia="zh-CN" w:bidi="ar"/>
              </w:rPr>
              <w:t>V</w:t>
            </w:r>
            <w:r>
              <w:rPr>
                <w:rFonts w:hint="default" w:ascii="Times New Roman" w:hAnsi="Times New Roman" w:eastAsia="宋体" w:cs="Times New Roman"/>
                <w:b w:val="0"/>
                <w:bCs/>
                <w:color w:val="auto"/>
                <w:kern w:val="0"/>
                <w:sz w:val="17"/>
                <w:szCs w:val="17"/>
                <w:lang w:val="en-US" w:eastAsia="zh-CN" w:bidi="ar"/>
              </w:rPr>
              <w:t xml:space="preserve">ehicle </w:t>
            </w:r>
            <w:r>
              <w:rPr>
                <w:rFonts w:hint="eastAsia" w:ascii="Times New Roman" w:hAnsi="Times New Roman" w:eastAsia="宋体" w:cs="Times New Roman"/>
                <w:b w:val="0"/>
                <w:bCs/>
                <w:color w:val="auto"/>
                <w:kern w:val="0"/>
                <w:sz w:val="17"/>
                <w:szCs w:val="17"/>
                <w:lang w:val="en-US" w:eastAsia="zh-CN" w:bidi="ar"/>
              </w:rPr>
              <w:t>M</w:t>
            </w:r>
            <w:r>
              <w:rPr>
                <w:rFonts w:hint="default" w:ascii="Times New Roman" w:hAnsi="Times New Roman" w:eastAsia="宋体" w:cs="Times New Roman"/>
                <w:b w:val="0"/>
                <w:bCs/>
                <w:color w:val="auto"/>
                <w:kern w:val="0"/>
                <w:sz w:val="17"/>
                <w:szCs w:val="17"/>
                <w:lang w:val="en-US" w:eastAsia="zh-CN" w:bidi="ar"/>
              </w:rPr>
              <w:t xml:space="preserve">aintenance </w:t>
            </w:r>
            <w:r>
              <w:rPr>
                <w:rFonts w:hint="eastAsia" w:ascii="Times New Roman" w:hAnsi="Times New Roman" w:eastAsia="宋体" w:cs="Times New Roman"/>
                <w:b w:val="0"/>
                <w:bCs/>
                <w:color w:val="auto"/>
                <w:kern w:val="0"/>
                <w:sz w:val="17"/>
                <w:szCs w:val="17"/>
                <w:lang w:val="en-US" w:eastAsia="zh-CN" w:bidi="ar"/>
              </w:rPr>
              <w:t>T</w:t>
            </w:r>
            <w:r>
              <w:rPr>
                <w:rFonts w:hint="default" w:ascii="Times New Roman" w:hAnsi="Times New Roman" w:eastAsia="宋体" w:cs="Times New Roman"/>
                <w:b w:val="0"/>
                <w:bCs/>
                <w:color w:val="auto"/>
                <w:kern w:val="0"/>
                <w:sz w:val="17"/>
                <w:szCs w:val="17"/>
                <w:lang w:val="en-US" w:eastAsia="zh-CN" w:bidi="ar"/>
              </w:rPr>
              <w:t>raining</w:t>
            </w:r>
          </w:p>
        </w:tc>
        <w:tc>
          <w:tcPr>
            <w:tcW w:w="630" w:type="dxa"/>
            <w:shd w:val="clear" w:color="auto" w:fill="auto"/>
            <w:noWrap w:val="0"/>
            <w:vAlign w:val="center"/>
          </w:tcPr>
          <w:p w14:paraId="53C32A52">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2</w:t>
            </w:r>
          </w:p>
        </w:tc>
        <w:tc>
          <w:tcPr>
            <w:tcW w:w="680" w:type="dxa"/>
            <w:shd w:val="clear" w:color="auto" w:fill="auto"/>
            <w:noWrap w:val="0"/>
            <w:vAlign w:val="center"/>
          </w:tcPr>
          <w:p w14:paraId="39962D9B">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2</w:t>
            </w:r>
          </w:p>
        </w:tc>
        <w:tc>
          <w:tcPr>
            <w:tcW w:w="530" w:type="dxa"/>
            <w:shd w:val="clear" w:color="auto" w:fill="auto"/>
            <w:noWrap w:val="0"/>
            <w:vAlign w:val="center"/>
          </w:tcPr>
          <w:p w14:paraId="1BCDAD98">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highlight w:val="none"/>
              </w:rPr>
              <w:t>4</w:t>
            </w:r>
          </w:p>
        </w:tc>
        <w:tc>
          <w:tcPr>
            <w:tcW w:w="1557" w:type="dxa"/>
            <w:shd w:val="clear" w:color="auto" w:fill="auto"/>
            <w:noWrap w:val="0"/>
            <w:vAlign w:val="center"/>
          </w:tcPr>
          <w:p w14:paraId="7104BD74">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rPr>
              <w:t>校内</w:t>
            </w:r>
          </w:p>
        </w:tc>
        <w:tc>
          <w:tcPr>
            <w:tcW w:w="1244" w:type="dxa"/>
            <w:shd w:val="clear" w:color="auto" w:fill="auto"/>
            <w:noWrap w:val="0"/>
            <w:vAlign w:val="center"/>
          </w:tcPr>
          <w:p w14:paraId="2D6C85ED">
            <w:pPr>
              <w:keepNext w:val="0"/>
              <w:keepLines w:val="0"/>
              <w:pageBreakBefore w:val="0"/>
              <w:wordWrap/>
              <w:topLinePunct w:val="0"/>
              <w:bidi w:val="0"/>
              <w:adjustRightInd w:val="0"/>
              <w:spacing w:line="240" w:lineRule="auto"/>
              <w:ind w:left="0" w:right="0"/>
              <w:jc w:val="center"/>
              <w:rPr>
                <w:rFonts w:hint="eastAsia" w:ascii="Times New Roman" w:hAnsi="Times New Roman" w:eastAsia="宋体" w:cs="Times New Roman"/>
                <w:b w:val="0"/>
                <w:bCs/>
                <w:color w:val="auto"/>
                <w:kern w:val="0"/>
                <w:sz w:val="18"/>
                <w:szCs w:val="18"/>
                <w:lang w:val="en-US" w:eastAsia="zh-CN" w:bidi="ar"/>
              </w:rPr>
            </w:pPr>
          </w:p>
        </w:tc>
      </w:tr>
      <w:tr w14:paraId="2C8C8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594" w:hRule="exact"/>
          <w:jc w:val="center"/>
        </w:trPr>
        <w:tc>
          <w:tcPr>
            <w:tcW w:w="555" w:type="dxa"/>
            <w:noWrap w:val="0"/>
            <w:vAlign w:val="center"/>
          </w:tcPr>
          <w:p w14:paraId="70EDDB66">
            <w:pPr>
              <w:keepNext w:val="0"/>
              <w:keepLines w:val="0"/>
              <w:pageBreakBefore w:val="0"/>
              <w:wordWrap/>
              <w:topLinePunct w:val="0"/>
              <w:bidi w:val="0"/>
              <w:adjustRightInd w:val="0"/>
              <w:spacing w:line="240" w:lineRule="auto"/>
              <w:ind w:left="0" w:leftChars="0" w:right="0" w:firstLine="0" w:firstLineChars="0"/>
              <w:jc w:val="center"/>
              <w:rPr>
                <w:rFonts w:hint="default" w:ascii="Times New Roman" w:hAnsi="Times New Roman" w:eastAsia="宋体" w:cs="Times New Roman"/>
                <w:b w:val="0"/>
                <w:bCs/>
                <w:color w:val="auto"/>
                <w:kern w:val="0"/>
                <w:sz w:val="18"/>
                <w:szCs w:val="18"/>
                <w:lang w:eastAsia="zh-CN" w:bidi="ar"/>
                <w:woUserID w:val="1"/>
              </w:rPr>
            </w:pPr>
            <w:r>
              <w:rPr>
                <w:rFonts w:hint="default" w:ascii="Times New Roman" w:hAnsi="Times New Roman" w:eastAsia="宋体" w:cs="Times New Roman"/>
                <w:b w:val="0"/>
                <w:bCs/>
                <w:color w:val="auto"/>
                <w:kern w:val="0"/>
                <w:sz w:val="18"/>
                <w:szCs w:val="18"/>
                <w:lang w:eastAsia="zh-CN" w:bidi="ar"/>
                <w:woUserID w:val="1"/>
              </w:rPr>
              <w:t>4</w:t>
            </w:r>
          </w:p>
        </w:tc>
        <w:tc>
          <w:tcPr>
            <w:tcW w:w="1090" w:type="dxa"/>
            <w:shd w:val="clear" w:color="auto" w:fill="auto"/>
            <w:noWrap w:val="0"/>
            <w:vAlign w:val="center"/>
          </w:tcPr>
          <w:p w14:paraId="38CF4755">
            <w:pPr>
              <w:keepNext w:val="0"/>
              <w:keepLines w:val="0"/>
              <w:pageBreakBefore w:val="0"/>
              <w:widowControl/>
              <w:wordWrap/>
              <w:topLinePunct w:val="0"/>
              <w:bidi w:val="0"/>
              <w:spacing w:line="240" w:lineRule="auto"/>
              <w:ind w:left="0" w:leftChars="0" w:right="0" w:rightChars="0" w:firstLine="0" w:firstLineChars="0"/>
              <w:jc w:val="center"/>
              <w:textAlignment w:val="center"/>
              <w:rPr>
                <w:rFonts w:hint="eastAsia" w:ascii="Times New Roman" w:hAnsi="Times New Roman" w:eastAsia="宋体" w:cs="Times New Roman"/>
                <w:color w:val="auto"/>
                <w:kern w:val="2"/>
                <w:sz w:val="18"/>
                <w:szCs w:val="18"/>
                <w:highlight w:val="none"/>
                <w:lang w:val="en-US" w:eastAsia="zh-CN" w:bidi="ar-SA"/>
                <w:woUserID w:val="1"/>
              </w:rPr>
            </w:pPr>
            <w:r>
              <w:rPr>
                <w:rFonts w:hint="default" w:ascii="Times New Roman" w:hAnsi="Times New Roman" w:eastAsia="宋体" w:cs="Times New Roman"/>
                <w:color w:val="auto"/>
                <w:sz w:val="18"/>
                <w:szCs w:val="18"/>
                <w:highlight w:val="none"/>
                <w:woUserID w:val="1"/>
              </w:rPr>
              <w:t>1324659002</w:t>
            </w:r>
          </w:p>
        </w:tc>
        <w:tc>
          <w:tcPr>
            <w:tcW w:w="2916" w:type="dxa"/>
            <w:shd w:val="clear" w:color="auto" w:fill="auto"/>
            <w:noWrap w:val="0"/>
            <w:vAlign w:val="center"/>
          </w:tcPr>
          <w:p w14:paraId="3772096C">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eastAsia="zh-CN" w:bidi="ar"/>
                <w:woUserID w:val="1"/>
              </w:rPr>
            </w:pPr>
            <w:r>
              <w:rPr>
                <w:rFonts w:hint="default" w:ascii="Times New Roman" w:hAnsi="Times New Roman" w:eastAsia="宋体" w:cs="Times New Roman"/>
                <w:bCs/>
                <w:kern w:val="0"/>
                <w:sz w:val="17"/>
                <w:szCs w:val="17"/>
                <w:lang w:eastAsia="zh-CN" w:bidi="ar"/>
                <w:woUserID w:val="1"/>
              </w:rPr>
              <w:t>顶岗实习及毕业实践</w:t>
            </w:r>
          </w:p>
          <w:p w14:paraId="4B330924">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val="en-US" w:eastAsia="zh-CN" w:bidi="ar"/>
                <w:woUserID w:val="1"/>
              </w:rPr>
            </w:pPr>
            <w:r>
              <w:rPr>
                <w:rFonts w:hint="default" w:ascii="Times New Roman" w:hAnsi="Times New Roman" w:eastAsia="宋体" w:cs="Times New Roman"/>
                <w:bCs/>
                <w:kern w:val="0"/>
                <w:sz w:val="17"/>
                <w:szCs w:val="17"/>
                <w:lang w:eastAsia="zh-CN" w:bidi="ar"/>
                <w:woUserID w:val="1"/>
              </w:rPr>
              <w:t>Job Internship and Graduation Practice</w:t>
            </w:r>
          </w:p>
        </w:tc>
        <w:tc>
          <w:tcPr>
            <w:tcW w:w="630" w:type="dxa"/>
            <w:shd w:val="clear" w:color="auto" w:fill="auto"/>
            <w:noWrap w:val="0"/>
            <w:vAlign w:val="center"/>
          </w:tcPr>
          <w:p w14:paraId="040BABD2">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eastAsia="宋体" w:cs="Times New Roman"/>
                <w:color w:val="auto"/>
                <w:sz w:val="18"/>
                <w:szCs w:val="18"/>
                <w:lang w:eastAsia="zh-CN"/>
                <w:woUserID w:val="1"/>
              </w:rPr>
            </w:pPr>
            <w:r>
              <w:rPr>
                <w:rFonts w:hint="default" w:ascii="Times New Roman" w:hAnsi="Times New Roman" w:eastAsia="宋体" w:cs="Times New Roman"/>
                <w:color w:val="auto"/>
                <w:sz w:val="18"/>
                <w:szCs w:val="18"/>
                <w:lang w:eastAsia="zh-CN"/>
                <w:woUserID w:val="1"/>
              </w:rPr>
              <w:t>28</w:t>
            </w:r>
          </w:p>
        </w:tc>
        <w:tc>
          <w:tcPr>
            <w:tcW w:w="680" w:type="dxa"/>
            <w:shd w:val="clear" w:color="auto" w:fill="auto"/>
            <w:noWrap w:val="0"/>
            <w:vAlign w:val="center"/>
          </w:tcPr>
          <w:p w14:paraId="19DC835F">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eastAsia="宋体" w:cs="Times New Roman"/>
                <w:color w:val="auto"/>
                <w:sz w:val="18"/>
                <w:szCs w:val="18"/>
                <w:lang w:eastAsia="zh-CN"/>
                <w:woUserID w:val="1"/>
              </w:rPr>
            </w:pPr>
            <w:r>
              <w:rPr>
                <w:rFonts w:hint="default" w:ascii="Times New Roman" w:hAnsi="Times New Roman" w:eastAsia="宋体" w:cs="Times New Roman"/>
                <w:color w:val="auto"/>
                <w:sz w:val="18"/>
                <w:szCs w:val="18"/>
                <w:lang w:eastAsia="zh-CN"/>
                <w:woUserID w:val="1"/>
              </w:rPr>
              <w:t>28</w:t>
            </w:r>
          </w:p>
        </w:tc>
        <w:tc>
          <w:tcPr>
            <w:tcW w:w="530" w:type="dxa"/>
            <w:shd w:val="clear" w:color="auto" w:fill="auto"/>
            <w:noWrap w:val="0"/>
            <w:vAlign w:val="center"/>
          </w:tcPr>
          <w:p w14:paraId="68CE86BA">
            <w:pPr>
              <w:keepNext w:val="0"/>
              <w:keepLines w:val="0"/>
              <w:pageBreakBefore w:val="0"/>
              <w:wordWrap/>
              <w:topLinePunct w:val="0"/>
              <w:bidi w:val="0"/>
              <w:spacing w:line="240" w:lineRule="auto"/>
              <w:ind w:left="0" w:leftChars="0" w:right="0" w:firstLine="0" w:firstLineChars="0"/>
              <w:jc w:val="center"/>
              <w:rPr>
                <w:rFonts w:hint="default" w:ascii="Times New Roman" w:hAnsi="Times New Roman" w:eastAsia="宋体" w:cs="Times New Roman"/>
                <w:color w:val="auto"/>
                <w:sz w:val="18"/>
                <w:szCs w:val="18"/>
                <w:lang w:eastAsia="zh-CN"/>
                <w:woUserID w:val="1"/>
              </w:rPr>
            </w:pPr>
            <w:r>
              <w:rPr>
                <w:rFonts w:hint="default" w:ascii="Times New Roman" w:hAnsi="Times New Roman" w:eastAsia="宋体" w:cs="Times New Roman"/>
                <w:color w:val="auto"/>
                <w:sz w:val="18"/>
                <w:szCs w:val="18"/>
                <w:lang w:eastAsia="zh-CN"/>
                <w:woUserID w:val="1"/>
              </w:rPr>
              <w:t>5-6</w:t>
            </w:r>
          </w:p>
        </w:tc>
        <w:tc>
          <w:tcPr>
            <w:tcW w:w="1557" w:type="dxa"/>
            <w:shd w:val="clear" w:color="auto" w:fill="auto"/>
            <w:noWrap w:val="0"/>
            <w:vAlign w:val="center"/>
          </w:tcPr>
          <w:p w14:paraId="1D223ED3">
            <w:pPr>
              <w:keepNext w:val="0"/>
              <w:keepLines w:val="0"/>
              <w:pageBreakBefore w:val="0"/>
              <w:wordWrap/>
              <w:topLinePunct w:val="0"/>
              <w:bidi w:val="0"/>
              <w:adjustRightInd w:val="0"/>
              <w:spacing w:line="240" w:lineRule="auto"/>
              <w:ind w:left="0" w:leftChars="0" w:right="0" w:firstLine="0" w:firstLineChars="0"/>
              <w:jc w:val="center"/>
              <w:rPr>
                <w:rFonts w:hint="eastAsia" w:ascii="Times New Roman" w:hAnsi="Times New Roman" w:eastAsia="宋体" w:cs="Times New Roman"/>
                <w:b w:val="0"/>
                <w:bCs/>
                <w:color w:val="auto"/>
                <w:kern w:val="0"/>
                <w:sz w:val="18"/>
                <w:szCs w:val="18"/>
                <w:highlight w:val="none"/>
                <w:lang w:val="en-US" w:eastAsia="zh-CN" w:bidi="ar"/>
              </w:rPr>
            </w:pPr>
            <w:r>
              <w:rPr>
                <w:rFonts w:hint="eastAsia" w:ascii="Times New Roman" w:hAnsi="Times New Roman" w:eastAsia="宋体" w:cs="Times New Roman"/>
                <w:b w:val="0"/>
                <w:bCs/>
                <w:color w:val="auto"/>
                <w:kern w:val="0"/>
                <w:sz w:val="18"/>
                <w:szCs w:val="18"/>
                <w:highlight w:val="none"/>
                <w:lang w:val="en-US" w:eastAsia="zh-CN" w:bidi="ar"/>
                <w:woUserID w:val="1"/>
              </w:rPr>
              <w:t>实习基地</w:t>
            </w:r>
          </w:p>
        </w:tc>
        <w:tc>
          <w:tcPr>
            <w:tcW w:w="1244" w:type="dxa"/>
            <w:shd w:val="clear" w:color="auto" w:fill="auto"/>
            <w:noWrap w:val="0"/>
            <w:vAlign w:val="center"/>
          </w:tcPr>
          <w:p w14:paraId="0FD8FB8C">
            <w:pPr>
              <w:keepNext w:val="0"/>
              <w:keepLines w:val="0"/>
              <w:pageBreakBefore w:val="0"/>
              <w:wordWrap/>
              <w:topLinePunct w:val="0"/>
              <w:bidi w:val="0"/>
              <w:adjustRightInd w:val="0"/>
              <w:spacing w:line="240" w:lineRule="auto"/>
              <w:ind w:left="0" w:leftChars="0" w:right="0" w:firstLine="0" w:firstLineChars="0"/>
              <w:jc w:val="center"/>
              <w:rPr>
                <w:rFonts w:hint="eastAsia" w:ascii="Times New Roman" w:hAnsi="Times New Roman" w:eastAsia="宋体" w:cs="Times New Roman"/>
                <w:b w:val="0"/>
                <w:bCs/>
                <w:color w:val="auto"/>
                <w:kern w:val="0"/>
                <w:sz w:val="18"/>
                <w:szCs w:val="18"/>
                <w:lang w:val="en-US" w:eastAsia="zh-CN" w:bidi="ar"/>
              </w:rPr>
            </w:pPr>
          </w:p>
        </w:tc>
      </w:tr>
      <w:tr w14:paraId="2E365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trHeight w:val="334" w:hRule="exact"/>
          <w:jc w:val="center"/>
        </w:trPr>
        <w:tc>
          <w:tcPr>
            <w:tcW w:w="4561" w:type="dxa"/>
            <w:gridSpan w:val="3"/>
            <w:noWrap w:val="0"/>
            <w:vAlign w:val="center"/>
          </w:tcPr>
          <w:p w14:paraId="1D2E9B57">
            <w:pPr>
              <w:keepNext w:val="0"/>
              <w:keepLines w:val="0"/>
              <w:pageBreakBefore w:val="0"/>
              <w:wordWrap/>
              <w:topLinePunct w:val="0"/>
              <w:bidi w:val="0"/>
              <w:adjustRightInd w:val="0"/>
              <w:snapToGrid w:val="0"/>
              <w:spacing w:line="240" w:lineRule="auto"/>
              <w:ind w:left="0" w:right="0"/>
              <w:jc w:val="center"/>
              <w:rPr>
                <w:rFonts w:hint="eastAsia" w:ascii="宋体" w:hAnsi="宋体" w:eastAsia="宋体" w:cs="宋体"/>
                <w:b/>
                <w:sz w:val="18"/>
                <w:szCs w:val="18"/>
              </w:rPr>
            </w:pPr>
            <w:r>
              <w:rPr>
                <w:rFonts w:hint="eastAsia" w:ascii="宋体" w:hAnsi="宋体" w:eastAsia="宋体" w:cs="宋体"/>
                <w:b/>
                <w:sz w:val="18"/>
                <w:szCs w:val="18"/>
              </w:rPr>
              <w:t>合计</w:t>
            </w:r>
          </w:p>
        </w:tc>
        <w:tc>
          <w:tcPr>
            <w:tcW w:w="630" w:type="dxa"/>
            <w:noWrap w:val="0"/>
            <w:vAlign w:val="center"/>
          </w:tcPr>
          <w:p w14:paraId="47CE5E60">
            <w:pPr>
              <w:keepNext w:val="0"/>
              <w:keepLines w:val="0"/>
              <w:pageBreakBefore w:val="0"/>
              <w:wordWrap/>
              <w:topLinePunct w:val="0"/>
              <w:bidi w:val="0"/>
              <w:adjustRightInd w:val="0"/>
              <w:snapToGrid w:val="0"/>
              <w:spacing w:line="240" w:lineRule="auto"/>
              <w:ind w:left="0" w:right="0"/>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32</w:t>
            </w:r>
          </w:p>
        </w:tc>
        <w:tc>
          <w:tcPr>
            <w:tcW w:w="680" w:type="dxa"/>
            <w:noWrap w:val="0"/>
            <w:vAlign w:val="center"/>
          </w:tcPr>
          <w:p w14:paraId="4C064549">
            <w:pPr>
              <w:keepNext w:val="0"/>
              <w:keepLines w:val="0"/>
              <w:pageBreakBefore w:val="0"/>
              <w:wordWrap/>
              <w:topLinePunct w:val="0"/>
              <w:bidi w:val="0"/>
              <w:adjustRightInd w:val="0"/>
              <w:snapToGrid w:val="0"/>
              <w:spacing w:line="240" w:lineRule="auto"/>
              <w:ind w:left="0" w:right="0"/>
              <w:jc w:val="center"/>
              <w:rPr>
                <w:rFonts w:hint="default" w:ascii="宋体" w:hAnsi="宋体" w:eastAsia="宋体" w:cs="宋体"/>
                <w:b/>
                <w:sz w:val="18"/>
                <w:szCs w:val="18"/>
                <w:lang w:val="en-US" w:eastAsia="zh-CN"/>
              </w:rPr>
            </w:pPr>
            <w:r>
              <w:rPr>
                <w:rFonts w:hint="eastAsia" w:ascii="宋体" w:hAnsi="宋体" w:eastAsia="宋体" w:cs="宋体"/>
                <w:b/>
                <w:sz w:val="18"/>
                <w:szCs w:val="18"/>
                <w:lang w:val="en-US" w:eastAsia="zh-CN"/>
              </w:rPr>
              <w:t>32</w:t>
            </w:r>
          </w:p>
        </w:tc>
        <w:tc>
          <w:tcPr>
            <w:tcW w:w="530" w:type="dxa"/>
            <w:noWrap w:val="0"/>
            <w:vAlign w:val="center"/>
          </w:tcPr>
          <w:p w14:paraId="71103A78">
            <w:pPr>
              <w:keepNext w:val="0"/>
              <w:keepLines w:val="0"/>
              <w:pageBreakBefore w:val="0"/>
              <w:wordWrap/>
              <w:topLinePunct w:val="0"/>
              <w:bidi w:val="0"/>
              <w:adjustRightInd w:val="0"/>
              <w:snapToGrid w:val="0"/>
              <w:spacing w:line="240" w:lineRule="auto"/>
              <w:ind w:left="0" w:right="0"/>
              <w:jc w:val="center"/>
              <w:rPr>
                <w:rFonts w:hint="eastAsia" w:ascii="宋体" w:hAnsi="宋体" w:eastAsia="宋体" w:cs="宋体"/>
                <w:b/>
                <w:sz w:val="18"/>
                <w:szCs w:val="18"/>
              </w:rPr>
            </w:pPr>
          </w:p>
        </w:tc>
        <w:tc>
          <w:tcPr>
            <w:tcW w:w="1557" w:type="dxa"/>
            <w:noWrap w:val="0"/>
            <w:vAlign w:val="center"/>
          </w:tcPr>
          <w:p w14:paraId="51DB10AB">
            <w:pPr>
              <w:keepNext w:val="0"/>
              <w:keepLines w:val="0"/>
              <w:pageBreakBefore w:val="0"/>
              <w:wordWrap/>
              <w:topLinePunct w:val="0"/>
              <w:bidi w:val="0"/>
              <w:adjustRightInd w:val="0"/>
              <w:snapToGrid w:val="0"/>
              <w:spacing w:line="240" w:lineRule="auto"/>
              <w:ind w:left="0" w:right="0"/>
              <w:jc w:val="center"/>
              <w:rPr>
                <w:rFonts w:hint="eastAsia" w:ascii="宋体" w:hAnsi="宋体" w:eastAsia="宋体" w:cs="宋体"/>
                <w:b/>
                <w:sz w:val="18"/>
                <w:szCs w:val="18"/>
              </w:rPr>
            </w:pPr>
          </w:p>
        </w:tc>
        <w:tc>
          <w:tcPr>
            <w:tcW w:w="1244" w:type="dxa"/>
            <w:noWrap w:val="0"/>
            <w:vAlign w:val="center"/>
          </w:tcPr>
          <w:p w14:paraId="2B0C86D3">
            <w:pPr>
              <w:keepNext w:val="0"/>
              <w:keepLines w:val="0"/>
              <w:pageBreakBefore w:val="0"/>
              <w:wordWrap/>
              <w:topLinePunct w:val="0"/>
              <w:bidi w:val="0"/>
              <w:adjustRightInd w:val="0"/>
              <w:snapToGrid w:val="0"/>
              <w:spacing w:line="240" w:lineRule="auto"/>
              <w:ind w:left="0" w:right="0"/>
              <w:jc w:val="center"/>
              <w:rPr>
                <w:rFonts w:hint="eastAsia" w:ascii="宋体" w:hAnsi="宋体" w:eastAsia="宋体" w:cs="宋体"/>
                <w:b/>
                <w:sz w:val="18"/>
                <w:szCs w:val="18"/>
              </w:rPr>
            </w:pPr>
          </w:p>
        </w:tc>
      </w:tr>
    </w:tbl>
    <w:p w14:paraId="54E5C342">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（四）课证融通</w:t>
      </w:r>
    </w:p>
    <w:p w14:paraId="269B1ED3">
      <w:pPr>
        <w:keepNext w:val="0"/>
        <w:keepLines w:val="0"/>
        <w:pageBreakBefore w:val="0"/>
        <w:wordWrap/>
        <w:topLinePunct w:val="0"/>
        <w:bidi w:val="0"/>
        <w:adjustRightInd w:val="0"/>
        <w:snapToGrid w:val="0"/>
        <w:spacing w:line="400" w:lineRule="exact"/>
        <w:ind w:left="0" w:right="0" w:firstLine="420" w:firstLineChars="200"/>
        <w:rPr>
          <w:rFonts w:hint="eastAsia" w:ascii="宋体" w:hAnsi="宋体" w:eastAsia="宋体" w:cs="宋体"/>
          <w:bCs/>
          <w:szCs w:val="21"/>
          <w:lang w:val="en-US" w:eastAsia="zh-CN"/>
        </w:rPr>
      </w:pPr>
      <w:r>
        <w:rPr>
          <w:rFonts w:hint="eastAsia" w:ascii="宋体" w:hAnsi="宋体" w:eastAsia="宋体" w:cs="宋体"/>
          <w:bCs/>
          <w:szCs w:val="21"/>
          <w:lang w:val="en-US" w:eastAsia="zh-CN"/>
        </w:rPr>
        <w:t>本专业相关的通用及职业技能等级或职业资格证书如表5所示。</w:t>
      </w:r>
    </w:p>
    <w:p w14:paraId="7F39A031">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pPr>
      <w:r>
        <w:rPr>
          <w:rFonts w:hint="eastAsia" w:ascii="黑体" w:hAnsi="黑体" w:eastAsia="黑体" w:cs="黑体"/>
          <w:color w:val="000000"/>
          <w:kern w:val="0"/>
          <w:szCs w:val="21"/>
          <w:highlight w:val="none"/>
          <w:lang w:val="en-US" w:eastAsia="zh-CN"/>
        </w:rPr>
        <w:t>表5毕业生通用及职业技能等级或职业资格证书</w:t>
      </w:r>
    </w:p>
    <w:tbl>
      <w:tblPr>
        <w:tblStyle w:val="19"/>
        <w:tblW w:w="921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464"/>
        <w:gridCol w:w="2384"/>
        <w:gridCol w:w="2125"/>
        <w:gridCol w:w="2244"/>
      </w:tblGrid>
      <w:tr w14:paraId="512E60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jc w:val="center"/>
        </w:trPr>
        <w:tc>
          <w:tcPr>
            <w:tcW w:w="2464" w:type="dxa"/>
            <w:vAlign w:val="center"/>
          </w:tcPr>
          <w:p w14:paraId="0FF355F7">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证书名称</w:t>
            </w:r>
          </w:p>
        </w:tc>
        <w:tc>
          <w:tcPr>
            <w:tcW w:w="2384" w:type="dxa"/>
            <w:vAlign w:val="center"/>
          </w:tcPr>
          <w:p w14:paraId="4C53C7CB">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颁证单位</w:t>
            </w:r>
          </w:p>
        </w:tc>
        <w:tc>
          <w:tcPr>
            <w:tcW w:w="2125" w:type="dxa"/>
            <w:vAlign w:val="center"/>
          </w:tcPr>
          <w:p w14:paraId="1571CC8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等级</w:t>
            </w:r>
          </w:p>
        </w:tc>
        <w:tc>
          <w:tcPr>
            <w:tcW w:w="2244" w:type="dxa"/>
            <w:vAlign w:val="center"/>
          </w:tcPr>
          <w:p w14:paraId="41A4C1B8">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452C9E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jc w:val="center"/>
        </w:trPr>
        <w:tc>
          <w:tcPr>
            <w:tcW w:w="2464" w:type="dxa"/>
            <w:vAlign w:val="center"/>
          </w:tcPr>
          <w:p w14:paraId="70590FF7">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普通话水平测试等级</w:t>
            </w:r>
            <w:r>
              <w:rPr>
                <w:i w:val="0"/>
                <w:iCs w:val="0"/>
                <w:snapToGrid w:val="0"/>
                <w:color w:val="000000" w:themeColor="text1"/>
                <w:spacing w:val="-2"/>
                <w:sz w:val="18"/>
                <w:szCs w:val="18"/>
                <w14:textFill>
                  <w14:solidFill>
                    <w14:schemeClr w14:val="tx1"/>
                  </w14:solidFill>
                </w14:textFill>
              </w:rPr>
              <w:t>证书</w:t>
            </w:r>
          </w:p>
        </w:tc>
        <w:tc>
          <w:tcPr>
            <w:tcW w:w="2384" w:type="dxa"/>
            <w:vAlign w:val="center"/>
          </w:tcPr>
          <w:p w14:paraId="4153C029">
            <w:pPr>
              <w:pStyle w:val="22"/>
              <w:keepNext w:val="0"/>
              <w:keepLines w:val="0"/>
              <w:pageBreakBefore w:val="0"/>
              <w:wordWrap/>
              <w:topLinePunct w:val="0"/>
              <w:bidi w:val="0"/>
              <w:spacing w:line="240" w:lineRule="auto"/>
              <w:ind w:left="0" w:right="0" w:firstLine="19"/>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国家语委普通话与文字应用培训测试中心</w:t>
            </w:r>
          </w:p>
        </w:tc>
        <w:tc>
          <w:tcPr>
            <w:tcW w:w="2125" w:type="dxa"/>
            <w:vAlign w:val="center"/>
          </w:tcPr>
          <w:p w14:paraId="763BC958">
            <w:pPr>
              <w:pStyle w:val="22"/>
              <w:keepNext w:val="0"/>
              <w:keepLines w:val="0"/>
              <w:pageBreakBefore w:val="0"/>
              <w:wordWrap/>
              <w:topLinePunct w:val="0"/>
              <w:bidi w:val="0"/>
              <w:spacing w:line="240" w:lineRule="auto"/>
              <w:ind w:left="0" w:right="0"/>
              <w:jc w:val="center"/>
              <w:rPr>
                <w:rFonts w:hint="eastAsia" w:eastAsia="宋体"/>
                <w:i w:val="0"/>
                <w:iCs w:val="0"/>
                <w:snapToGrid w:val="0"/>
                <w:color w:val="000000" w:themeColor="text1"/>
                <w:sz w:val="18"/>
                <w:szCs w:val="18"/>
                <w:lang w:val="en-US" w:eastAsia="zh-CN"/>
                <w14:textFill>
                  <w14:solidFill>
                    <w14:schemeClr w14:val="tx1"/>
                  </w14:solidFill>
                </w14:textFill>
              </w:rPr>
            </w:pPr>
            <w:r>
              <w:rPr>
                <w:i w:val="0"/>
                <w:iCs w:val="0"/>
                <w:snapToGrid w:val="0"/>
                <w:color w:val="000000" w:themeColor="text1"/>
                <w:spacing w:val="-3"/>
                <w:sz w:val="18"/>
                <w:szCs w:val="18"/>
                <w14:textFill>
                  <w14:solidFill>
                    <w14:schemeClr w14:val="tx1"/>
                  </w14:solidFill>
                </w14:textFill>
              </w:rPr>
              <w:t>二</w:t>
            </w:r>
            <w:r>
              <w:rPr>
                <w:rFonts w:hint="eastAsia"/>
                <w:i w:val="0"/>
                <w:iCs w:val="0"/>
                <w:snapToGrid w:val="0"/>
                <w:color w:val="000000" w:themeColor="text1"/>
                <w:spacing w:val="-3"/>
                <w:sz w:val="18"/>
                <w:szCs w:val="18"/>
                <w:lang w:val="en-US" w:eastAsia="zh-CN"/>
                <w14:textFill>
                  <w14:solidFill>
                    <w14:schemeClr w14:val="tx1"/>
                  </w14:solidFill>
                </w14:textFill>
              </w:rPr>
              <w:t>级</w:t>
            </w:r>
            <w:r>
              <w:rPr>
                <w:i w:val="0"/>
                <w:iCs w:val="0"/>
                <w:snapToGrid w:val="0"/>
                <w:color w:val="000000" w:themeColor="text1"/>
                <w:spacing w:val="-3"/>
                <w:sz w:val="18"/>
                <w:szCs w:val="18"/>
                <w14:textFill>
                  <w14:solidFill>
                    <w14:schemeClr w14:val="tx1"/>
                  </w14:solidFill>
                </w14:textFill>
              </w:rPr>
              <w:t>乙</w:t>
            </w:r>
            <w:r>
              <w:rPr>
                <w:rFonts w:hint="eastAsia"/>
                <w:i w:val="0"/>
                <w:iCs w:val="0"/>
                <w:snapToGrid w:val="0"/>
                <w:color w:val="000000" w:themeColor="text1"/>
                <w:spacing w:val="-3"/>
                <w:sz w:val="18"/>
                <w:szCs w:val="18"/>
                <w:lang w:val="en-US" w:eastAsia="zh-CN"/>
                <w14:textFill>
                  <w14:solidFill>
                    <w14:schemeClr w14:val="tx1"/>
                  </w14:solidFill>
                </w14:textFill>
              </w:rPr>
              <w:t>等</w:t>
            </w:r>
          </w:p>
        </w:tc>
        <w:tc>
          <w:tcPr>
            <w:tcW w:w="2244" w:type="dxa"/>
            <w:vAlign w:val="center"/>
          </w:tcPr>
          <w:p w14:paraId="46076C4D">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诵读与写作</w:t>
            </w:r>
          </w:p>
          <w:p w14:paraId="3E28E02D">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普通话语言艺术</w:t>
            </w:r>
          </w:p>
        </w:tc>
      </w:tr>
      <w:tr w14:paraId="248A11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jc w:val="center"/>
        </w:trPr>
        <w:tc>
          <w:tcPr>
            <w:tcW w:w="2464" w:type="dxa"/>
            <w:vAlign w:val="center"/>
          </w:tcPr>
          <w:p w14:paraId="08DCD86D">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1"/>
                <w:sz w:val="18"/>
                <w:szCs w:val="18"/>
                <w14:textFill>
                  <w14:solidFill>
                    <w14:schemeClr w14:val="tx1"/>
                  </w14:solidFill>
                </w14:textFill>
              </w:rPr>
              <w:t>全国计算机等级</w:t>
            </w:r>
            <w:r>
              <w:rPr>
                <w:rFonts w:hint="eastAsia"/>
                <w:i w:val="0"/>
                <w:iCs w:val="0"/>
                <w:snapToGrid w:val="0"/>
                <w:color w:val="000000" w:themeColor="text1"/>
                <w:spacing w:val="-1"/>
                <w:sz w:val="18"/>
                <w:szCs w:val="18"/>
                <w:lang w:val="en-US" w:eastAsia="zh-CN"/>
                <w14:textFill>
                  <w14:solidFill>
                    <w14:schemeClr w14:val="tx1"/>
                  </w14:solidFill>
                </w14:textFill>
              </w:rPr>
              <w:t>考试</w:t>
            </w:r>
            <w:r>
              <w:rPr>
                <w:i w:val="0"/>
                <w:iCs w:val="0"/>
                <w:snapToGrid w:val="0"/>
                <w:color w:val="000000" w:themeColor="text1"/>
                <w:spacing w:val="-1"/>
                <w:sz w:val="18"/>
                <w:szCs w:val="18"/>
                <w14:textFill>
                  <w14:solidFill>
                    <w14:schemeClr w14:val="tx1"/>
                  </w14:solidFill>
                </w14:textFill>
              </w:rPr>
              <w:t>证书</w:t>
            </w:r>
          </w:p>
        </w:tc>
        <w:tc>
          <w:tcPr>
            <w:tcW w:w="2384" w:type="dxa"/>
            <w:vAlign w:val="center"/>
          </w:tcPr>
          <w:p w14:paraId="28B73896">
            <w:pPr>
              <w:pStyle w:val="22"/>
              <w:keepNext w:val="0"/>
              <w:keepLines w:val="0"/>
              <w:pageBreakBefore w:val="0"/>
              <w:wordWrap/>
              <w:topLinePunct w:val="0"/>
              <w:bidi w:val="0"/>
              <w:spacing w:line="240" w:lineRule="auto"/>
              <w:ind w:left="0" w:right="0"/>
              <w:jc w:val="center"/>
              <w:rPr>
                <w:rFonts w:hint="eastAsia" w:eastAsia="宋体"/>
                <w:i w:val="0"/>
                <w:iCs w:val="0"/>
                <w:snapToGrid w:val="0"/>
                <w:color w:val="000000" w:themeColor="text1"/>
                <w:sz w:val="18"/>
                <w:szCs w:val="18"/>
                <w:lang w:eastAsia="zh-CN"/>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教育部</w:t>
            </w:r>
            <w:r>
              <w:rPr>
                <w:rFonts w:hint="eastAsia"/>
                <w:i w:val="0"/>
                <w:iCs w:val="0"/>
                <w:snapToGrid w:val="0"/>
                <w:color w:val="000000" w:themeColor="text1"/>
                <w:spacing w:val="-2"/>
                <w:sz w:val="18"/>
                <w:szCs w:val="18"/>
                <w:lang w:val="en-US" w:eastAsia="zh-CN"/>
                <w14:textFill>
                  <w14:solidFill>
                    <w14:schemeClr w14:val="tx1"/>
                  </w14:solidFill>
                </w14:textFill>
              </w:rPr>
              <w:t>教育考试院</w:t>
            </w:r>
          </w:p>
        </w:tc>
        <w:tc>
          <w:tcPr>
            <w:tcW w:w="2125" w:type="dxa"/>
            <w:vAlign w:val="center"/>
          </w:tcPr>
          <w:p w14:paraId="20D05E80">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6"/>
                <w:sz w:val="18"/>
                <w:szCs w:val="18"/>
                <w14:textFill>
                  <w14:solidFill>
                    <w14:schemeClr w14:val="tx1"/>
                  </w14:solidFill>
                </w14:textFill>
              </w:rPr>
              <w:t>二级</w:t>
            </w:r>
          </w:p>
        </w:tc>
        <w:tc>
          <w:tcPr>
            <w:tcW w:w="2244" w:type="dxa"/>
            <w:vAlign w:val="center"/>
          </w:tcPr>
          <w:p w14:paraId="23FC7DC3">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信息技术</w:t>
            </w:r>
          </w:p>
        </w:tc>
      </w:tr>
      <w:tr w14:paraId="5CF77A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59540306">
            <w:pPr>
              <w:pStyle w:val="22"/>
              <w:keepNext w:val="0"/>
              <w:keepLines w:val="0"/>
              <w:pageBreakBefore w:val="0"/>
              <w:wordWrap/>
              <w:topLinePunct w:val="0"/>
              <w:bidi w:val="0"/>
              <w:spacing w:line="240" w:lineRule="auto"/>
              <w:ind w:left="0" w:right="0" w:firstLine="5"/>
              <w:jc w:val="center"/>
              <w:rPr>
                <w:rFonts w:hint="default" w:eastAsia="宋体"/>
                <w:i w:val="0"/>
                <w:iCs w:val="0"/>
                <w:snapToGrid w:val="0"/>
                <w:color w:val="000000" w:themeColor="text1"/>
                <w:sz w:val="18"/>
                <w:szCs w:val="18"/>
                <w:lang w:val="en-US" w:eastAsia="zh-CN"/>
                <w14:textFill>
                  <w14:solidFill>
                    <w14:schemeClr w14:val="tx1"/>
                  </w14:solidFill>
                </w14:textFill>
              </w:rPr>
            </w:pPr>
            <w:r>
              <w:rPr>
                <w:rFonts w:hint="eastAsia"/>
                <w:i w:val="0"/>
                <w:iCs w:val="0"/>
                <w:snapToGrid w:val="0"/>
                <w:color w:val="000000" w:themeColor="text1"/>
                <w:sz w:val="18"/>
                <w:szCs w:val="18"/>
                <w:lang w:val="en-US" w:eastAsia="zh-CN"/>
                <w14:textFill>
                  <w14:solidFill>
                    <w14:schemeClr w14:val="tx1"/>
                  </w14:solidFill>
                </w14:textFill>
              </w:rPr>
              <w:t>全国大学英语四六级考试等级证书</w:t>
            </w:r>
          </w:p>
        </w:tc>
        <w:tc>
          <w:tcPr>
            <w:tcW w:w="2384" w:type="dxa"/>
            <w:vAlign w:val="center"/>
          </w:tcPr>
          <w:p w14:paraId="30486D5C">
            <w:pPr>
              <w:pStyle w:val="22"/>
              <w:keepNext w:val="0"/>
              <w:keepLines w:val="0"/>
              <w:pageBreakBefore w:val="0"/>
              <w:wordWrap/>
              <w:topLinePunct w:val="0"/>
              <w:bidi w:val="0"/>
              <w:spacing w:line="240" w:lineRule="auto"/>
              <w:ind w:left="0" w:right="0" w:firstLine="2"/>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2"/>
                <w:sz w:val="18"/>
                <w:szCs w:val="18"/>
                <w14:textFill>
                  <w14:solidFill>
                    <w14:schemeClr w14:val="tx1"/>
                  </w14:solidFill>
                </w14:textFill>
              </w:rPr>
              <w:t>教育部</w:t>
            </w:r>
            <w:r>
              <w:rPr>
                <w:rFonts w:hint="eastAsia"/>
                <w:i w:val="0"/>
                <w:iCs w:val="0"/>
                <w:snapToGrid w:val="0"/>
                <w:color w:val="000000" w:themeColor="text1"/>
                <w:spacing w:val="-2"/>
                <w:sz w:val="18"/>
                <w:szCs w:val="18"/>
                <w:lang w:val="en-US" w:eastAsia="zh-CN"/>
                <w14:textFill>
                  <w14:solidFill>
                    <w14:schemeClr w14:val="tx1"/>
                  </w14:solidFill>
                </w14:textFill>
              </w:rPr>
              <w:t>教育考试院</w:t>
            </w:r>
          </w:p>
        </w:tc>
        <w:tc>
          <w:tcPr>
            <w:tcW w:w="2125" w:type="dxa"/>
            <w:vAlign w:val="center"/>
          </w:tcPr>
          <w:p w14:paraId="3CA04F01">
            <w:pPr>
              <w:pStyle w:val="22"/>
              <w:keepNext w:val="0"/>
              <w:keepLines w:val="0"/>
              <w:pageBreakBefore w:val="0"/>
              <w:wordWrap/>
              <w:topLinePunct w:val="0"/>
              <w:bidi w:val="0"/>
              <w:spacing w:line="240" w:lineRule="auto"/>
              <w:ind w:left="0" w:right="0"/>
              <w:jc w:val="center"/>
              <w:rPr>
                <w:rFonts w:hint="default" w:eastAsia="宋体"/>
                <w:i w:val="0"/>
                <w:iCs w:val="0"/>
                <w:snapToGrid w:val="0"/>
                <w:color w:val="000000" w:themeColor="text1"/>
                <w:sz w:val="18"/>
                <w:szCs w:val="18"/>
                <w:lang w:val="en-US" w:eastAsia="zh-CN"/>
                <w14:textFill>
                  <w14:solidFill>
                    <w14:schemeClr w14:val="tx1"/>
                  </w14:solidFill>
                </w14:textFill>
              </w:rPr>
            </w:pPr>
            <w:r>
              <w:rPr>
                <w:rFonts w:hint="eastAsia"/>
                <w:i w:val="0"/>
                <w:iCs w:val="0"/>
                <w:snapToGrid w:val="0"/>
                <w:color w:val="000000" w:themeColor="text1"/>
                <w:spacing w:val="-1"/>
                <w:sz w:val="18"/>
                <w:szCs w:val="18"/>
                <w:lang w:val="en-US" w:eastAsia="zh-CN"/>
                <w14:textFill>
                  <w14:solidFill>
                    <w14:schemeClr w14:val="tx1"/>
                  </w14:solidFill>
                </w14:textFill>
              </w:rPr>
              <w:t>425分</w:t>
            </w:r>
          </w:p>
        </w:tc>
        <w:tc>
          <w:tcPr>
            <w:tcW w:w="2244" w:type="dxa"/>
            <w:vAlign w:val="center"/>
          </w:tcPr>
          <w:p w14:paraId="23E12771">
            <w:pPr>
              <w:pStyle w:val="22"/>
              <w:keepNext w:val="0"/>
              <w:keepLines w:val="0"/>
              <w:pageBreakBefore w:val="0"/>
              <w:wordWrap/>
              <w:topLinePunct w:val="0"/>
              <w:bidi w:val="0"/>
              <w:spacing w:line="240" w:lineRule="auto"/>
              <w:ind w:left="0" w:right="0"/>
              <w:jc w:val="center"/>
              <w:rPr>
                <w:i w:val="0"/>
                <w:iCs w:val="0"/>
                <w:snapToGrid w:val="0"/>
                <w:color w:val="000000" w:themeColor="text1"/>
                <w:sz w:val="18"/>
                <w:szCs w:val="18"/>
                <w14:textFill>
                  <w14:solidFill>
                    <w14:schemeClr w14:val="tx1"/>
                  </w14:solidFill>
                </w14:textFill>
              </w:rPr>
            </w:pPr>
            <w:r>
              <w:rPr>
                <w:i w:val="0"/>
                <w:iCs w:val="0"/>
                <w:snapToGrid w:val="0"/>
                <w:color w:val="000000" w:themeColor="text1"/>
                <w:spacing w:val="-3"/>
                <w:sz w:val="18"/>
                <w:szCs w:val="18"/>
                <w14:textFill>
                  <w14:solidFill>
                    <w14:schemeClr w14:val="tx1"/>
                  </w14:solidFill>
                </w14:textFill>
              </w:rPr>
              <w:t>大学英语</w:t>
            </w:r>
          </w:p>
        </w:tc>
      </w:tr>
      <w:tr w14:paraId="083754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4377D520">
            <w:pPr>
              <w:keepNext w:val="0"/>
              <w:keepLines w:val="0"/>
              <w:pageBreakBefore w:val="0"/>
              <w:widowControl/>
              <w:wordWrap/>
              <w:topLinePunct w:val="0"/>
              <w:bidi w:val="0"/>
              <w:adjustRightInd w:val="0"/>
              <w:snapToGrid w:val="0"/>
              <w:spacing w:line="240" w:lineRule="auto"/>
              <w:ind w:left="0" w:right="0"/>
              <w:jc w:val="center"/>
              <w:rPr>
                <w:rFonts w:hint="default"/>
                <w:i w:val="0"/>
                <w:iCs w:val="0"/>
                <w:snapToGrid w:val="0"/>
                <w:color w:val="000000" w:themeColor="text1"/>
                <w:sz w:val="18"/>
                <w:szCs w:val="18"/>
                <w:lang w:val="en-US" w:eastAsia="zh-CN"/>
                <w14:textFill>
                  <w14:solidFill>
                    <w14:schemeClr w14:val="tx1"/>
                  </w14:solidFill>
                </w14:textFill>
              </w:rPr>
            </w:pPr>
            <w:r>
              <w:rPr>
                <w:rFonts w:hint="eastAsia" w:ascii="宋体" w:hAnsi="宋体" w:eastAsia="宋体" w:cs="Times New Roman"/>
                <w:snapToGrid w:val="0"/>
                <w:color w:val="000000"/>
                <w:kern w:val="0"/>
                <w:sz w:val="18"/>
                <w:szCs w:val="18"/>
                <w:lang w:val="en-US" w:eastAsia="zh-CN"/>
              </w:rPr>
              <w:t>新能源汽车装调与测试证书</w:t>
            </w:r>
          </w:p>
        </w:tc>
        <w:tc>
          <w:tcPr>
            <w:tcW w:w="2384" w:type="dxa"/>
            <w:vAlign w:val="center"/>
          </w:tcPr>
          <w:p w14:paraId="267AADB2">
            <w:pPr>
              <w:pStyle w:val="22"/>
              <w:keepNext w:val="0"/>
              <w:keepLines w:val="0"/>
              <w:pageBreakBefore w:val="0"/>
              <w:wordWrap/>
              <w:topLinePunct w:val="0"/>
              <w:bidi w:val="0"/>
              <w:spacing w:line="240" w:lineRule="auto"/>
              <w:ind w:left="0" w:leftChars="0" w:right="0" w:rightChars="0" w:hanging="4" w:firstLineChars="0"/>
              <w:jc w:val="center"/>
              <w:rPr>
                <w:rFonts w:hint="default"/>
                <w:i w:val="0"/>
                <w:iCs w:val="0"/>
                <w:snapToGrid w:val="0"/>
                <w:color w:val="FF0000"/>
                <w:spacing w:val="-2"/>
                <w:sz w:val="18"/>
                <w:szCs w:val="18"/>
                <w:highlight w:val="yellow"/>
                <w:lang w:val="en-US"/>
              </w:rPr>
            </w:pPr>
            <w:r>
              <w:rPr>
                <w:rFonts w:hint="eastAsia"/>
                <w:i w:val="0"/>
                <w:iCs w:val="0"/>
                <w:snapToGrid w:val="0"/>
                <w:color w:val="auto"/>
                <w:sz w:val="18"/>
                <w:szCs w:val="18"/>
                <w:highlight w:val="none"/>
                <w:lang w:val="en-US" w:eastAsia="zh-CN"/>
              </w:rPr>
              <w:t>中国机械工业联合会</w:t>
            </w:r>
          </w:p>
        </w:tc>
        <w:tc>
          <w:tcPr>
            <w:tcW w:w="2125" w:type="dxa"/>
            <w:vAlign w:val="center"/>
          </w:tcPr>
          <w:p w14:paraId="63638404">
            <w:pPr>
              <w:pStyle w:val="22"/>
              <w:keepNext w:val="0"/>
              <w:keepLines w:val="0"/>
              <w:pageBreakBefore w:val="0"/>
              <w:wordWrap/>
              <w:topLinePunct w:val="0"/>
              <w:bidi w:val="0"/>
              <w:spacing w:line="240" w:lineRule="auto"/>
              <w:ind w:left="0" w:leftChars="0" w:right="0" w:rightChars="0" w:firstLine="7" w:firstLineChars="0"/>
              <w:jc w:val="center"/>
              <w:rPr>
                <w:rFonts w:hint="default"/>
                <w:i w:val="0"/>
                <w:iCs w:val="0"/>
                <w:snapToGrid w:val="0"/>
                <w:color w:val="000000" w:themeColor="text1"/>
                <w:spacing w:val="-1"/>
                <w:sz w:val="18"/>
                <w:szCs w:val="18"/>
                <w:lang w:val="en-US" w:eastAsia="zh-CN"/>
                <w14:textFill>
                  <w14:solidFill>
                    <w14:schemeClr w14:val="tx1"/>
                  </w14:solidFill>
                </w14:textFill>
              </w:rPr>
            </w:pPr>
            <w:r>
              <w:rPr>
                <w:rFonts w:hint="eastAsia"/>
                <w:i w:val="0"/>
                <w:iCs w:val="0"/>
                <w:snapToGrid w:val="0"/>
                <w:color w:val="000000" w:themeColor="text1"/>
                <w:spacing w:val="-1"/>
                <w:sz w:val="18"/>
                <w:szCs w:val="18"/>
                <w:lang w:val="en-US" w:eastAsia="zh-CN"/>
                <w14:textFill>
                  <w14:solidFill>
                    <w14:schemeClr w14:val="tx1"/>
                  </w14:solidFill>
                </w14:textFill>
              </w:rPr>
              <w:t>中级</w:t>
            </w:r>
          </w:p>
        </w:tc>
        <w:tc>
          <w:tcPr>
            <w:tcW w:w="2244" w:type="dxa"/>
            <w:vAlign w:val="center"/>
          </w:tcPr>
          <w:p w14:paraId="405E616D">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Times New Roman" w:hAnsi="Times New Roman" w:eastAsia="宋体" w:cs="Times New Roman"/>
                <w:snapToGrid w:val="0"/>
                <w:color w:val="auto"/>
                <w:kern w:val="2"/>
                <w:sz w:val="18"/>
                <w:szCs w:val="18"/>
                <w:lang w:val="en-US" w:eastAsia="zh-CN" w:bidi="ar-SA"/>
              </w:rPr>
            </w:pPr>
            <w:r>
              <w:rPr>
                <w:rFonts w:hint="eastAsia" w:ascii="Times New Roman" w:hAnsi="Times New Roman" w:eastAsia="宋体" w:cs="Times New Roman"/>
                <w:snapToGrid w:val="0"/>
                <w:color w:val="auto"/>
                <w:kern w:val="2"/>
                <w:sz w:val="18"/>
                <w:szCs w:val="18"/>
                <w:lang w:val="en-US" w:eastAsia="zh-CN" w:bidi="ar-SA"/>
              </w:rPr>
              <w:t>新能源汽车电气技术</w:t>
            </w:r>
          </w:p>
          <w:p w14:paraId="1DE89F59">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Times New Roman" w:hAnsi="Times New Roman" w:eastAsia="宋体" w:cs="Times New Roman"/>
                <w:snapToGrid w:val="0"/>
                <w:color w:val="auto"/>
                <w:kern w:val="2"/>
                <w:sz w:val="18"/>
                <w:szCs w:val="18"/>
                <w:lang w:val="en-US" w:eastAsia="zh-CN" w:bidi="ar-SA"/>
              </w:rPr>
            </w:pPr>
            <w:r>
              <w:rPr>
                <w:rFonts w:hint="eastAsia" w:ascii="Times New Roman" w:hAnsi="Times New Roman" w:eastAsia="宋体" w:cs="Times New Roman"/>
                <w:snapToGrid w:val="0"/>
                <w:color w:val="auto"/>
                <w:sz w:val="18"/>
                <w:szCs w:val="18"/>
                <w:lang w:val="en-US" w:eastAsia="zh-CN"/>
              </w:rPr>
              <w:t>新能源汽车综合性能检测与故障诊断</w:t>
            </w:r>
          </w:p>
        </w:tc>
      </w:tr>
      <w:tr w14:paraId="280F01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jc w:val="center"/>
        </w:trPr>
        <w:tc>
          <w:tcPr>
            <w:tcW w:w="2464" w:type="dxa"/>
            <w:vAlign w:val="center"/>
          </w:tcPr>
          <w:p w14:paraId="7388597F">
            <w:pPr>
              <w:pStyle w:val="22"/>
              <w:keepNext w:val="0"/>
              <w:keepLines w:val="0"/>
              <w:pageBreakBefore w:val="0"/>
              <w:wordWrap/>
              <w:topLinePunct w:val="0"/>
              <w:bidi w:val="0"/>
              <w:spacing w:line="240" w:lineRule="auto"/>
              <w:ind w:left="0" w:right="0" w:firstLine="5"/>
              <w:jc w:val="center"/>
              <w:rPr>
                <w:rFonts w:hint="default"/>
                <w:i w:val="0"/>
                <w:iCs w:val="0"/>
                <w:snapToGrid w:val="0"/>
                <w:color w:val="auto"/>
                <w:sz w:val="18"/>
                <w:szCs w:val="18"/>
                <w:lang w:val="en-US" w:eastAsia="zh-CN"/>
              </w:rPr>
            </w:pPr>
            <w:r>
              <w:rPr>
                <w:rFonts w:hint="eastAsia" w:ascii="宋体" w:hAnsi="宋体" w:eastAsia="宋体" w:cs="Times New Roman"/>
                <w:snapToGrid w:val="0"/>
                <w:color w:val="000000"/>
                <w:kern w:val="0"/>
                <w:sz w:val="18"/>
                <w:szCs w:val="18"/>
                <w:lang w:val="en-US" w:eastAsia="zh-CN"/>
              </w:rPr>
              <w:t>低压电工操作证书</w:t>
            </w:r>
          </w:p>
        </w:tc>
        <w:tc>
          <w:tcPr>
            <w:tcW w:w="2384" w:type="dxa"/>
            <w:vAlign w:val="center"/>
          </w:tcPr>
          <w:p w14:paraId="2536B497">
            <w:pPr>
              <w:pStyle w:val="22"/>
              <w:keepNext w:val="0"/>
              <w:keepLines w:val="0"/>
              <w:pageBreakBefore w:val="0"/>
              <w:wordWrap/>
              <w:topLinePunct w:val="0"/>
              <w:bidi w:val="0"/>
              <w:spacing w:line="240" w:lineRule="auto"/>
              <w:ind w:left="0" w:right="0" w:firstLine="2"/>
              <w:jc w:val="center"/>
              <w:rPr>
                <w:i w:val="0"/>
                <w:iCs w:val="0"/>
                <w:snapToGrid w:val="0"/>
                <w:color w:val="auto"/>
                <w:spacing w:val="-2"/>
                <w:sz w:val="18"/>
                <w:szCs w:val="18"/>
              </w:rPr>
            </w:pPr>
            <w:r>
              <w:rPr>
                <w:rFonts w:hint="eastAsia"/>
                <w:i w:val="0"/>
                <w:iCs w:val="0"/>
                <w:snapToGrid w:val="0"/>
                <w:color w:val="auto"/>
                <w:sz w:val="18"/>
                <w:szCs w:val="18"/>
                <w:lang w:val="en-US" w:eastAsia="zh-CN"/>
              </w:rPr>
              <w:t>应急管理部</w:t>
            </w:r>
          </w:p>
        </w:tc>
        <w:tc>
          <w:tcPr>
            <w:tcW w:w="2125" w:type="dxa"/>
            <w:vAlign w:val="center"/>
          </w:tcPr>
          <w:p w14:paraId="3FCA2557">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default"/>
                <w:i w:val="0"/>
                <w:iCs w:val="0"/>
                <w:snapToGrid w:val="0"/>
                <w:color w:val="auto"/>
                <w:spacing w:val="-1"/>
                <w:sz w:val="18"/>
                <w:szCs w:val="18"/>
                <w:lang w:val="en-US" w:eastAsia="zh-CN"/>
              </w:rPr>
            </w:pPr>
            <w:r>
              <w:rPr>
                <w:i w:val="0"/>
                <w:iCs w:val="0"/>
                <w:snapToGrid w:val="0"/>
                <w:color w:val="000000" w:themeColor="text1"/>
                <w:spacing w:val="-6"/>
                <w:sz w:val="18"/>
                <w:szCs w:val="18"/>
                <w14:textFill>
                  <w14:solidFill>
                    <w14:schemeClr w14:val="tx1"/>
                  </w14:solidFill>
                </w14:textFill>
              </w:rPr>
              <w:t>二级</w:t>
            </w:r>
          </w:p>
        </w:tc>
        <w:tc>
          <w:tcPr>
            <w:tcW w:w="2244" w:type="dxa"/>
            <w:vAlign w:val="center"/>
          </w:tcPr>
          <w:p w14:paraId="6E045B46">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Times New Roman" w:hAnsi="Times New Roman" w:eastAsia="宋体" w:cs="Times New Roman"/>
                <w:snapToGrid w:val="0"/>
                <w:color w:val="auto"/>
                <w:sz w:val="18"/>
                <w:szCs w:val="18"/>
                <w:lang w:val="en-US" w:eastAsia="zh-CN"/>
              </w:rPr>
            </w:pPr>
            <w:r>
              <w:rPr>
                <w:rFonts w:hint="eastAsia" w:ascii="Times New Roman" w:hAnsi="Times New Roman" w:eastAsia="宋体" w:cs="Times New Roman"/>
                <w:snapToGrid w:val="0"/>
                <w:color w:val="auto"/>
                <w:sz w:val="18"/>
                <w:szCs w:val="18"/>
                <w:lang w:val="en-US" w:eastAsia="zh-CN"/>
              </w:rPr>
              <w:t>汽车电工电子技术</w:t>
            </w:r>
          </w:p>
          <w:p w14:paraId="726F702A">
            <w:pPr>
              <w:pStyle w:val="22"/>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Times New Roman" w:hAnsi="Times New Roman" w:eastAsia="宋体" w:cs="Times New Roman"/>
                <w:snapToGrid w:val="0"/>
                <w:color w:val="auto"/>
                <w:sz w:val="18"/>
                <w:szCs w:val="18"/>
                <w:lang w:val="en-US" w:eastAsia="zh-CN"/>
              </w:rPr>
            </w:pPr>
            <w:r>
              <w:rPr>
                <w:rFonts w:hint="eastAsia" w:ascii="Times New Roman" w:hAnsi="Times New Roman" w:eastAsia="宋体" w:cs="Times New Roman"/>
                <w:snapToGrid w:val="0"/>
                <w:color w:val="auto"/>
                <w:sz w:val="18"/>
                <w:szCs w:val="18"/>
                <w:highlight w:val="none"/>
                <w:lang w:val="en-US" w:eastAsia="zh-CN"/>
              </w:rPr>
              <w:t>新能源汽车整车控制技术</w:t>
            </w:r>
          </w:p>
        </w:tc>
      </w:tr>
    </w:tbl>
    <w:p w14:paraId="0BD4EE6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（五）课赛融通</w:t>
      </w:r>
    </w:p>
    <w:p w14:paraId="25D08A55">
      <w:pPr>
        <w:pStyle w:val="6"/>
        <w:keepNext w:val="0"/>
        <w:keepLines w:val="0"/>
        <w:pageBreakBefore w:val="0"/>
        <w:wordWrap/>
        <w:topLinePunct w:val="0"/>
        <w:bidi w:val="0"/>
        <w:spacing w:line="400" w:lineRule="exact"/>
        <w:ind w:left="0" w:right="0" w:firstLine="481"/>
        <w:rPr>
          <w:rFonts w:hint="eastAsia" w:ascii="宋体" w:hAnsi="宋体" w:eastAsia="宋体" w:cs="宋体"/>
          <w:bCs/>
          <w:kern w:val="2"/>
          <w:sz w:val="21"/>
          <w:szCs w:val="21"/>
          <w:lang w:val="en-US" w:eastAsia="zh-CN" w:bidi="ar-SA"/>
        </w:rPr>
      </w:pPr>
      <w:r>
        <w:rPr>
          <w:rFonts w:hint="eastAsia" w:ascii="宋体" w:hAnsi="宋体" w:eastAsia="宋体" w:cs="宋体"/>
          <w:bCs/>
          <w:kern w:val="2"/>
          <w:sz w:val="21"/>
          <w:szCs w:val="21"/>
          <w:lang w:val="en-US" w:eastAsia="zh-CN" w:bidi="ar-SA"/>
        </w:rPr>
        <w:t>本专业相关的竞赛如表</w:t>
      </w:r>
      <w:r>
        <w:rPr>
          <w:rFonts w:hint="eastAsia" w:cs="宋体"/>
          <w:bCs/>
          <w:kern w:val="2"/>
          <w:sz w:val="21"/>
          <w:szCs w:val="21"/>
          <w:lang w:val="en-US" w:eastAsia="zh-CN" w:bidi="ar-SA"/>
        </w:rPr>
        <w:t>6</w:t>
      </w:r>
      <w:r>
        <w:rPr>
          <w:rFonts w:hint="eastAsia" w:ascii="宋体" w:hAnsi="宋体" w:eastAsia="宋体" w:cs="宋体"/>
          <w:bCs/>
          <w:kern w:val="2"/>
          <w:sz w:val="21"/>
          <w:szCs w:val="21"/>
          <w:lang w:val="en-US" w:eastAsia="zh-CN" w:bidi="ar-SA"/>
        </w:rPr>
        <w:t>所示。</w:t>
      </w:r>
    </w:p>
    <w:p w14:paraId="4A41B73D">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pPr>
      <w:r>
        <w:rPr>
          <w:rFonts w:hint="eastAsia" w:ascii="黑体" w:hAnsi="黑体" w:eastAsia="黑体" w:cs="黑体"/>
          <w:color w:val="000000"/>
          <w:kern w:val="0"/>
          <w:szCs w:val="21"/>
          <w:highlight w:val="none"/>
          <w:lang w:val="en-US" w:eastAsia="zh-CN"/>
        </w:rPr>
        <w:t>表6课赛融通表</w:t>
      </w:r>
    </w:p>
    <w:tbl>
      <w:tblPr>
        <w:tblStyle w:val="19"/>
        <w:tblW w:w="9316"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09"/>
        <w:gridCol w:w="1276"/>
        <w:gridCol w:w="3185"/>
        <w:gridCol w:w="2546"/>
      </w:tblGrid>
      <w:tr w14:paraId="3B8085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jc w:val="center"/>
        </w:trPr>
        <w:tc>
          <w:tcPr>
            <w:tcW w:w="2309" w:type="dxa"/>
            <w:vAlign w:val="center"/>
          </w:tcPr>
          <w:p w14:paraId="65F5B47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赛项名称</w:t>
            </w:r>
          </w:p>
        </w:tc>
        <w:tc>
          <w:tcPr>
            <w:tcW w:w="1276" w:type="dxa"/>
            <w:vAlign w:val="center"/>
          </w:tcPr>
          <w:p w14:paraId="549A09F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组织机构</w:t>
            </w:r>
          </w:p>
        </w:tc>
        <w:tc>
          <w:tcPr>
            <w:tcW w:w="3185" w:type="dxa"/>
            <w:vAlign w:val="center"/>
          </w:tcPr>
          <w:p w14:paraId="6702B2D3">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主要内容</w:t>
            </w:r>
          </w:p>
        </w:tc>
        <w:tc>
          <w:tcPr>
            <w:tcW w:w="2546" w:type="dxa"/>
            <w:vAlign w:val="center"/>
          </w:tcPr>
          <w:p w14:paraId="398A1680">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snapToGrid w:val="0"/>
                <w:color w:val="auto"/>
                <w:sz w:val="18"/>
                <w:szCs w:val="18"/>
                <w:lang w:val="en-US" w:eastAsia="zh-CN"/>
              </w:rPr>
            </w:pPr>
            <w:r>
              <w:rPr>
                <w:rFonts w:hint="eastAsia" w:ascii="Times New Roman" w:hAnsi="Times New Roman" w:eastAsia="黑体" w:cs="Times New Roman"/>
                <w:b w:val="0"/>
                <w:bCs/>
                <w:snapToGrid w:val="0"/>
                <w:color w:val="auto"/>
                <w:sz w:val="18"/>
                <w:szCs w:val="18"/>
                <w:lang w:val="en-US" w:eastAsia="zh-CN"/>
              </w:rPr>
              <w:t>融通课程</w:t>
            </w:r>
          </w:p>
        </w:tc>
      </w:tr>
      <w:tr w14:paraId="041D6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9" w:hRule="atLeast"/>
          <w:jc w:val="center"/>
        </w:trPr>
        <w:tc>
          <w:tcPr>
            <w:tcW w:w="2309" w:type="dxa"/>
            <w:vAlign w:val="center"/>
          </w:tcPr>
          <w:p w14:paraId="422F7F7A">
            <w:pPr>
              <w:pStyle w:val="22"/>
              <w:keepNext w:val="0"/>
              <w:keepLines w:val="0"/>
              <w:pageBreakBefore w:val="0"/>
              <w:wordWrap/>
              <w:topLinePunct w:val="0"/>
              <w:bidi w:val="0"/>
              <w:spacing w:line="240" w:lineRule="auto"/>
              <w:ind w:left="0" w:leftChars="0" w:right="0" w:rightChars="0" w:firstLine="15" w:firstLineChars="0"/>
              <w:jc w:val="center"/>
              <w:rPr>
                <w:rFonts w:hint="default"/>
                <w:i w:val="0"/>
                <w:iCs w:val="0"/>
                <w:snapToGrid w:val="0"/>
                <w:color w:val="auto"/>
                <w:spacing w:val="-2"/>
                <w:sz w:val="18"/>
                <w:szCs w:val="18"/>
                <w:lang w:val="en-US"/>
              </w:rPr>
            </w:pPr>
            <w:r>
              <w:rPr>
                <w:rFonts w:hint="eastAsia"/>
                <w:i w:val="0"/>
                <w:iCs w:val="0"/>
                <w:snapToGrid w:val="0"/>
                <w:color w:val="auto"/>
                <w:spacing w:val="-2"/>
                <w:sz w:val="18"/>
                <w:szCs w:val="18"/>
                <w:lang w:val="en-US" w:eastAsia="zh-CN"/>
              </w:rPr>
              <w:t>新能源汽车驱动电机及控制技术</w:t>
            </w:r>
          </w:p>
        </w:tc>
        <w:tc>
          <w:tcPr>
            <w:tcW w:w="1276" w:type="dxa"/>
            <w:vAlign w:val="center"/>
          </w:tcPr>
          <w:p w14:paraId="0ACDEC9A">
            <w:pPr>
              <w:pStyle w:val="22"/>
              <w:keepNext w:val="0"/>
              <w:keepLines w:val="0"/>
              <w:pageBreakBefore w:val="0"/>
              <w:wordWrap/>
              <w:topLinePunct w:val="0"/>
              <w:bidi w:val="0"/>
              <w:spacing w:line="240" w:lineRule="auto"/>
              <w:ind w:left="0" w:leftChars="0" w:right="0" w:rightChars="0" w:firstLine="15" w:firstLineChars="0"/>
              <w:jc w:val="center"/>
              <w:rPr>
                <w:rFonts w:hint="eastAsia"/>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金砖国家技能发展与技术创新大赛组委会</w:t>
            </w:r>
          </w:p>
          <w:p w14:paraId="4C06A42B">
            <w:pPr>
              <w:pStyle w:val="22"/>
              <w:keepNext w:val="0"/>
              <w:keepLines w:val="0"/>
              <w:pageBreakBefore w:val="0"/>
              <w:wordWrap/>
              <w:topLinePunct w:val="0"/>
              <w:bidi w:val="0"/>
              <w:spacing w:line="240" w:lineRule="auto"/>
              <w:ind w:left="0" w:leftChars="0" w:right="0" w:rightChars="0" w:firstLine="15" w:firstLineChars="0"/>
              <w:jc w:val="center"/>
              <w:rPr>
                <w:rFonts w:hint="default"/>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一带一路暨金砖国家技能发展国际联盟</w:t>
            </w:r>
          </w:p>
        </w:tc>
        <w:tc>
          <w:tcPr>
            <w:tcW w:w="3185" w:type="dxa"/>
            <w:vAlign w:val="top"/>
          </w:tcPr>
          <w:p w14:paraId="78E1D97D">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1.</w:t>
            </w:r>
            <w:r>
              <w:rPr>
                <w:rFonts w:hint="eastAsia"/>
                <w:i w:val="0"/>
                <w:iCs w:val="0"/>
                <w:snapToGrid w:val="0"/>
                <w:color w:val="auto"/>
                <w:spacing w:val="-2"/>
                <w:sz w:val="18"/>
                <w:szCs w:val="18"/>
                <w:lang w:val="en-US" w:eastAsia="zh-CN"/>
              </w:rPr>
              <w:t>动力总成拆装</w:t>
            </w:r>
            <w:r>
              <w:rPr>
                <w:rFonts w:hint="eastAsia"/>
                <w:i w:val="0"/>
                <w:iCs w:val="0"/>
                <w:snapToGrid w:val="0"/>
                <w:color w:val="auto"/>
                <w:spacing w:val="-2"/>
                <w:sz w:val="18"/>
                <w:szCs w:val="18"/>
                <w:lang w:eastAsia="zh-CN"/>
              </w:rPr>
              <w:t>；</w:t>
            </w:r>
          </w:p>
          <w:p w14:paraId="204D34FA">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2.</w:t>
            </w:r>
            <w:r>
              <w:rPr>
                <w:rFonts w:hint="eastAsia"/>
                <w:i w:val="0"/>
                <w:iCs w:val="0"/>
                <w:snapToGrid w:val="0"/>
                <w:color w:val="auto"/>
                <w:spacing w:val="-2"/>
                <w:sz w:val="18"/>
                <w:szCs w:val="18"/>
                <w:lang w:val="en-US" w:eastAsia="zh-CN"/>
              </w:rPr>
              <w:t>八合一智能前驱动控制器拆装</w:t>
            </w:r>
            <w:r>
              <w:rPr>
                <w:rFonts w:hint="eastAsia"/>
                <w:i w:val="0"/>
                <w:iCs w:val="0"/>
                <w:snapToGrid w:val="0"/>
                <w:color w:val="auto"/>
                <w:spacing w:val="-2"/>
                <w:sz w:val="18"/>
                <w:szCs w:val="18"/>
                <w:lang w:eastAsia="zh-CN"/>
              </w:rPr>
              <w:t>；</w:t>
            </w:r>
          </w:p>
          <w:p w14:paraId="46271DD9">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3.</w:t>
            </w:r>
            <w:r>
              <w:rPr>
                <w:rFonts w:hint="eastAsia"/>
                <w:i w:val="0"/>
                <w:iCs w:val="0"/>
                <w:snapToGrid w:val="0"/>
                <w:color w:val="auto"/>
                <w:spacing w:val="-2"/>
                <w:sz w:val="18"/>
                <w:szCs w:val="18"/>
                <w:lang w:val="en-US" w:eastAsia="zh-CN"/>
              </w:rPr>
              <w:t>变速器拆装</w:t>
            </w:r>
            <w:r>
              <w:rPr>
                <w:rFonts w:hint="eastAsia"/>
                <w:i w:val="0"/>
                <w:iCs w:val="0"/>
                <w:snapToGrid w:val="0"/>
                <w:color w:val="auto"/>
                <w:spacing w:val="-2"/>
                <w:sz w:val="18"/>
                <w:szCs w:val="18"/>
                <w:lang w:eastAsia="zh-CN"/>
              </w:rPr>
              <w:t>；</w:t>
            </w:r>
          </w:p>
          <w:p w14:paraId="70E66600">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4.</w:t>
            </w:r>
            <w:r>
              <w:rPr>
                <w:rFonts w:hint="eastAsia"/>
                <w:i w:val="0"/>
                <w:iCs w:val="0"/>
                <w:snapToGrid w:val="0"/>
                <w:color w:val="auto"/>
                <w:spacing w:val="-2"/>
                <w:sz w:val="18"/>
                <w:szCs w:val="18"/>
                <w:lang w:val="en-US" w:eastAsia="zh-CN"/>
              </w:rPr>
              <w:t>变速器组件测量</w:t>
            </w:r>
            <w:r>
              <w:rPr>
                <w:rFonts w:hint="eastAsia"/>
                <w:i w:val="0"/>
                <w:iCs w:val="0"/>
                <w:snapToGrid w:val="0"/>
                <w:color w:val="auto"/>
                <w:spacing w:val="-2"/>
                <w:sz w:val="18"/>
                <w:szCs w:val="18"/>
                <w:lang w:eastAsia="zh-CN"/>
              </w:rPr>
              <w:t>；</w:t>
            </w:r>
          </w:p>
          <w:p w14:paraId="325F5993">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5.</w:t>
            </w:r>
            <w:r>
              <w:rPr>
                <w:rFonts w:hint="eastAsia"/>
                <w:i w:val="0"/>
                <w:iCs w:val="0"/>
                <w:snapToGrid w:val="0"/>
                <w:color w:val="auto"/>
                <w:spacing w:val="-2"/>
                <w:sz w:val="18"/>
                <w:szCs w:val="18"/>
                <w:lang w:val="en-US" w:eastAsia="zh-CN"/>
              </w:rPr>
              <w:t>驱动系统静态测试</w:t>
            </w:r>
            <w:r>
              <w:rPr>
                <w:rFonts w:hint="eastAsia"/>
                <w:i w:val="0"/>
                <w:iCs w:val="0"/>
                <w:snapToGrid w:val="0"/>
                <w:color w:val="auto"/>
                <w:spacing w:val="-2"/>
                <w:sz w:val="18"/>
                <w:szCs w:val="18"/>
                <w:lang w:eastAsia="zh-CN"/>
              </w:rPr>
              <w:t>；</w:t>
            </w:r>
          </w:p>
          <w:p w14:paraId="592FE377">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6.</w:t>
            </w:r>
            <w:r>
              <w:rPr>
                <w:rFonts w:hint="eastAsia"/>
                <w:i w:val="0"/>
                <w:iCs w:val="0"/>
                <w:snapToGrid w:val="0"/>
                <w:color w:val="auto"/>
                <w:spacing w:val="-2"/>
                <w:sz w:val="18"/>
                <w:szCs w:val="18"/>
                <w:lang w:val="en-US" w:eastAsia="zh-CN"/>
              </w:rPr>
              <w:t>动力电池包拆装</w:t>
            </w:r>
            <w:r>
              <w:rPr>
                <w:rFonts w:hint="eastAsia"/>
                <w:i w:val="0"/>
                <w:iCs w:val="0"/>
                <w:snapToGrid w:val="0"/>
                <w:color w:val="auto"/>
                <w:spacing w:val="-2"/>
                <w:sz w:val="18"/>
                <w:szCs w:val="18"/>
                <w:lang w:eastAsia="zh-CN"/>
              </w:rPr>
              <w:t>；</w:t>
            </w:r>
          </w:p>
          <w:p w14:paraId="36892859">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7.</w:t>
            </w:r>
            <w:r>
              <w:rPr>
                <w:rFonts w:hint="eastAsia"/>
                <w:i w:val="0"/>
                <w:iCs w:val="0"/>
                <w:snapToGrid w:val="0"/>
                <w:color w:val="auto"/>
                <w:spacing w:val="-2"/>
                <w:sz w:val="18"/>
                <w:szCs w:val="18"/>
                <w:lang w:val="en-US" w:eastAsia="zh-CN"/>
              </w:rPr>
              <w:t>驱动电机旋变故障</w:t>
            </w:r>
            <w:r>
              <w:rPr>
                <w:rFonts w:hint="eastAsia"/>
                <w:i w:val="0"/>
                <w:iCs w:val="0"/>
                <w:snapToGrid w:val="0"/>
                <w:color w:val="auto"/>
                <w:spacing w:val="-2"/>
                <w:sz w:val="18"/>
                <w:szCs w:val="18"/>
                <w:lang w:eastAsia="zh-CN"/>
              </w:rPr>
              <w:t>；</w:t>
            </w:r>
          </w:p>
          <w:p w14:paraId="193652C5">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i w:val="0"/>
                <w:iCs w:val="0"/>
                <w:snapToGrid w:val="0"/>
                <w:color w:val="auto"/>
                <w:spacing w:val="-2"/>
                <w:sz w:val="18"/>
                <w:szCs w:val="18"/>
              </w:rPr>
              <w:t>8.</w:t>
            </w:r>
            <w:r>
              <w:rPr>
                <w:rFonts w:hint="eastAsia"/>
                <w:i w:val="0"/>
                <w:iCs w:val="0"/>
                <w:snapToGrid w:val="0"/>
                <w:color w:val="auto"/>
                <w:spacing w:val="-2"/>
                <w:sz w:val="18"/>
                <w:szCs w:val="18"/>
                <w:lang w:val="en-US" w:eastAsia="zh-CN"/>
              </w:rPr>
              <w:t>驱动电机过温故障</w:t>
            </w:r>
            <w:r>
              <w:rPr>
                <w:rFonts w:hint="eastAsia"/>
                <w:i w:val="0"/>
                <w:iCs w:val="0"/>
                <w:snapToGrid w:val="0"/>
                <w:color w:val="auto"/>
                <w:spacing w:val="-2"/>
                <w:sz w:val="18"/>
                <w:szCs w:val="18"/>
                <w:lang w:eastAsia="zh-CN"/>
              </w:rPr>
              <w:t>；</w:t>
            </w:r>
          </w:p>
          <w:p w14:paraId="2C612460">
            <w:pPr>
              <w:pStyle w:val="22"/>
              <w:keepNext w:val="0"/>
              <w:keepLines w:val="0"/>
              <w:pageBreakBefore w:val="0"/>
              <w:wordWrap/>
              <w:topLinePunct w:val="0"/>
              <w:bidi w:val="0"/>
              <w:spacing w:line="240" w:lineRule="auto"/>
              <w:ind w:left="0" w:leftChars="0" w:right="0" w:rightChars="0" w:firstLine="15" w:firstLineChars="0"/>
              <w:jc w:val="left"/>
              <w:rPr>
                <w:rFonts w:hint="eastAsia"/>
                <w:i w:val="0"/>
                <w:iCs w:val="0"/>
                <w:snapToGrid w:val="0"/>
                <w:color w:val="auto"/>
                <w:spacing w:val="-2"/>
                <w:sz w:val="18"/>
                <w:szCs w:val="18"/>
                <w:lang w:val="en-US" w:eastAsia="zh-CN"/>
              </w:rPr>
            </w:pPr>
            <w:r>
              <w:rPr>
                <w:i w:val="0"/>
                <w:iCs w:val="0"/>
                <w:snapToGrid w:val="0"/>
                <w:color w:val="auto"/>
                <w:spacing w:val="-2"/>
                <w:sz w:val="18"/>
                <w:szCs w:val="18"/>
              </w:rPr>
              <w:t>9.</w:t>
            </w:r>
            <w:r>
              <w:rPr>
                <w:rFonts w:hint="eastAsia"/>
                <w:i w:val="0"/>
                <w:iCs w:val="0"/>
                <w:snapToGrid w:val="0"/>
                <w:color w:val="auto"/>
                <w:spacing w:val="-2"/>
                <w:sz w:val="18"/>
                <w:szCs w:val="18"/>
                <w:lang w:val="en-US" w:eastAsia="zh-CN"/>
              </w:rPr>
              <w:t>前驱动电机控制器碰撞信号故障；</w:t>
            </w:r>
          </w:p>
          <w:p w14:paraId="3B9F5A7E">
            <w:pPr>
              <w:pStyle w:val="22"/>
              <w:keepNext w:val="0"/>
              <w:keepLines w:val="0"/>
              <w:pageBreakBefore w:val="0"/>
              <w:wordWrap/>
              <w:topLinePunct w:val="0"/>
              <w:bidi w:val="0"/>
              <w:spacing w:line="240" w:lineRule="auto"/>
              <w:ind w:left="0" w:leftChars="0" w:right="0" w:rightChars="0" w:firstLine="15" w:firstLineChars="0"/>
              <w:jc w:val="left"/>
              <w:rPr>
                <w:rFonts w:hint="eastAsia"/>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10.前驱动电机控制器冷却系统故障；</w:t>
            </w:r>
          </w:p>
          <w:p w14:paraId="65FBE969">
            <w:pPr>
              <w:pStyle w:val="22"/>
              <w:keepNext w:val="0"/>
              <w:keepLines w:val="0"/>
              <w:pageBreakBefore w:val="0"/>
              <w:wordWrap/>
              <w:topLinePunct w:val="0"/>
              <w:bidi w:val="0"/>
              <w:spacing w:line="240" w:lineRule="auto"/>
              <w:ind w:left="0" w:leftChars="0" w:right="0" w:rightChars="0" w:firstLine="15" w:firstLineChars="0"/>
              <w:jc w:val="left"/>
              <w:rPr>
                <w:rFonts w:hint="eastAsia"/>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11.动力电池绝缘故障</w:t>
            </w:r>
          </w:p>
          <w:p w14:paraId="37BC992B">
            <w:pPr>
              <w:pStyle w:val="22"/>
              <w:keepNext w:val="0"/>
              <w:keepLines w:val="0"/>
              <w:pageBreakBefore w:val="0"/>
              <w:wordWrap/>
              <w:topLinePunct w:val="0"/>
              <w:bidi w:val="0"/>
              <w:spacing w:line="240" w:lineRule="auto"/>
              <w:ind w:left="0" w:leftChars="0" w:right="0" w:rightChars="0" w:firstLine="15" w:firstLineChars="0"/>
              <w:jc w:val="left"/>
              <w:rPr>
                <w:rFonts w:hint="eastAsia"/>
                <w:i w:val="0"/>
                <w:iCs w:val="0"/>
                <w:snapToGrid w:val="0"/>
                <w:color w:val="auto"/>
                <w:spacing w:val="-2"/>
                <w:sz w:val="18"/>
                <w:szCs w:val="18"/>
                <w:lang w:val="en-US" w:eastAsia="zh-CN"/>
              </w:rPr>
            </w:pPr>
            <w:r>
              <w:rPr>
                <w:rFonts w:hint="eastAsia"/>
                <w:i w:val="0"/>
                <w:iCs w:val="0"/>
                <w:snapToGrid w:val="0"/>
                <w:color w:val="auto"/>
                <w:spacing w:val="-2"/>
                <w:sz w:val="18"/>
                <w:szCs w:val="18"/>
                <w:lang w:val="en-US" w:eastAsia="zh-CN"/>
              </w:rPr>
              <w:t>12.动力电池高压互锁故障检测；</w:t>
            </w:r>
          </w:p>
          <w:p w14:paraId="13723F89">
            <w:pPr>
              <w:pStyle w:val="22"/>
              <w:keepNext w:val="0"/>
              <w:keepLines w:val="0"/>
              <w:pageBreakBefore w:val="0"/>
              <w:wordWrap/>
              <w:topLinePunct w:val="0"/>
              <w:bidi w:val="0"/>
              <w:spacing w:line="240" w:lineRule="auto"/>
              <w:ind w:left="0" w:leftChars="0" w:right="0" w:rightChars="0" w:firstLine="15" w:firstLineChars="0"/>
              <w:jc w:val="left"/>
              <w:rPr>
                <w:rFonts w:hint="eastAsia" w:eastAsia="宋体"/>
                <w:i w:val="0"/>
                <w:iCs w:val="0"/>
                <w:snapToGrid w:val="0"/>
                <w:color w:val="auto"/>
                <w:spacing w:val="-2"/>
                <w:sz w:val="18"/>
                <w:szCs w:val="18"/>
                <w:lang w:eastAsia="zh-CN"/>
              </w:rPr>
            </w:pPr>
            <w:r>
              <w:rPr>
                <w:rFonts w:hint="eastAsia"/>
                <w:i w:val="0"/>
                <w:iCs w:val="0"/>
                <w:snapToGrid w:val="0"/>
                <w:color w:val="auto"/>
                <w:spacing w:val="-2"/>
                <w:sz w:val="18"/>
                <w:szCs w:val="18"/>
                <w:lang w:val="en-US" w:eastAsia="zh-CN"/>
              </w:rPr>
              <w:t>13.动力电池欠压故障检测</w:t>
            </w:r>
            <w:r>
              <w:rPr>
                <w:rFonts w:hint="eastAsia"/>
                <w:i w:val="0"/>
                <w:iCs w:val="0"/>
                <w:snapToGrid w:val="0"/>
                <w:color w:val="auto"/>
                <w:spacing w:val="-2"/>
                <w:sz w:val="18"/>
                <w:szCs w:val="18"/>
                <w:lang w:eastAsia="zh-CN"/>
              </w:rPr>
              <w:t>。</w:t>
            </w:r>
          </w:p>
        </w:tc>
        <w:tc>
          <w:tcPr>
            <w:tcW w:w="2546" w:type="dxa"/>
            <w:vAlign w:val="center"/>
          </w:tcPr>
          <w:p w14:paraId="4F8D51C7">
            <w:pPr>
              <w:pStyle w:val="22"/>
              <w:keepNext w:val="0"/>
              <w:keepLines w:val="0"/>
              <w:pageBreakBefore w:val="0"/>
              <w:wordWrap/>
              <w:topLinePunct w:val="0"/>
              <w:bidi w:val="0"/>
              <w:spacing w:line="240" w:lineRule="auto"/>
              <w:ind w:left="0" w:leftChars="0" w:right="0" w:rightChars="0" w:firstLine="15" w:firstLineChars="0"/>
              <w:jc w:val="center"/>
              <w:rPr>
                <w:i w:val="0"/>
                <w:iCs w:val="0"/>
                <w:snapToGrid w:val="0"/>
                <w:color w:val="auto"/>
                <w:spacing w:val="-2"/>
                <w:sz w:val="18"/>
                <w:szCs w:val="18"/>
              </w:rPr>
            </w:pPr>
            <w:r>
              <w:rPr>
                <w:rFonts w:hint="eastAsia" w:ascii="Times New Roman" w:hAnsi="Times New Roman" w:eastAsia="宋体" w:cs="Times New Roman"/>
                <w:snapToGrid w:val="0"/>
                <w:color w:val="auto"/>
                <w:kern w:val="2"/>
                <w:sz w:val="18"/>
                <w:szCs w:val="18"/>
                <w:highlight w:val="none"/>
                <w:lang w:val="en-US" w:eastAsia="zh-CN" w:bidi="ar-SA"/>
              </w:rPr>
              <w:t>汽车构造</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highlight w:val="none"/>
                <w:lang w:val="en-US" w:eastAsia="zh-CN"/>
              </w:rPr>
              <w:t>新能源汽车驱动电机及控制技术</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lang w:val="en-US" w:eastAsia="zh-CN"/>
              </w:rPr>
              <w:t>新能源汽车综合性能检测与故障诊断</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highlight w:val="none"/>
                <w:lang w:val="en-US" w:eastAsia="zh-CN"/>
              </w:rPr>
              <w:t>新能源汽车整车控制技术</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lang w:val="en-US" w:eastAsia="zh-CN"/>
              </w:rPr>
              <w:t>新能源汽车电池及管理系统</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lang w:val="en-US" w:eastAsia="zh-CN"/>
              </w:rPr>
              <w:t>汽车使用与维护</w:t>
            </w:r>
            <w:r>
              <w:rPr>
                <w:i w:val="0"/>
                <w:iCs w:val="0"/>
                <w:snapToGrid w:val="0"/>
                <w:color w:val="auto"/>
                <w:spacing w:val="-2"/>
                <w:sz w:val="18"/>
                <w:szCs w:val="18"/>
              </w:rPr>
              <w:t>、</w:t>
            </w:r>
            <w:r>
              <w:rPr>
                <w:rFonts w:hint="eastAsia" w:ascii="Times New Roman" w:hAnsi="Times New Roman" w:eastAsia="宋体" w:cs="Times New Roman"/>
                <w:snapToGrid w:val="0"/>
                <w:color w:val="auto"/>
                <w:sz w:val="18"/>
                <w:szCs w:val="18"/>
              </w:rPr>
              <w:t>新能源汽车装配工艺</w:t>
            </w:r>
          </w:p>
        </w:tc>
      </w:tr>
    </w:tbl>
    <w:p w14:paraId="7B2CBABA">
      <w:pPr>
        <w:keepNext w:val="0"/>
        <w:keepLines w:val="0"/>
        <w:pageBreakBefore w:val="0"/>
        <w:wordWrap/>
        <w:topLinePunct w:val="0"/>
        <w:bidi w:val="0"/>
        <w:adjustRightInd w:val="0"/>
        <w:snapToGrid w:val="0"/>
        <w:spacing w:line="400" w:lineRule="exact"/>
        <w:ind w:left="0" w:right="0" w:firstLine="480" w:firstLineChars="200"/>
        <w:rPr>
          <w:rFonts w:ascii="黑体" w:hAnsi="黑体" w:eastAsia="黑体" w:cs="黑体"/>
          <w:bCs/>
          <w:sz w:val="24"/>
          <w:szCs w:val="24"/>
        </w:rPr>
      </w:pPr>
      <w:bookmarkStart w:id="19" w:name="_Toc545"/>
      <w:r>
        <w:rPr>
          <w:rFonts w:hint="eastAsia" w:ascii="黑体" w:hAnsi="黑体" w:eastAsia="黑体" w:cs="黑体"/>
          <w:bCs/>
          <w:sz w:val="24"/>
          <w:szCs w:val="24"/>
        </w:rPr>
        <w:t>七、</w:t>
      </w:r>
      <w:bookmarkEnd w:id="19"/>
      <w:r>
        <w:rPr>
          <w:rFonts w:eastAsia="黑体"/>
          <w:sz w:val="24"/>
          <w:szCs w:val="24"/>
        </w:rPr>
        <w:t>教学进程总体安排</w:t>
      </w:r>
    </w:p>
    <w:p w14:paraId="14B3508A">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bookmarkStart w:id="20" w:name="_Toc6775"/>
      <w:r>
        <w:rPr>
          <w:rFonts w:hint="eastAsia" w:ascii="宋体" w:hAnsi="宋体" w:eastAsia="宋体" w:cs="宋体"/>
          <w:b/>
          <w:szCs w:val="32"/>
          <w:lang w:val="en-US" w:eastAsia="zh-CN"/>
        </w:rPr>
        <w:t>（一）课程平台及学分比例</w:t>
      </w:r>
    </w:p>
    <w:bookmarkEnd w:id="20"/>
    <w:p w14:paraId="20500260">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表7课程平台及学分比例</w:t>
      </w:r>
    </w:p>
    <w:tbl>
      <w:tblPr>
        <w:tblStyle w:val="12"/>
        <w:tblW w:w="94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40"/>
        <w:gridCol w:w="2598"/>
        <w:gridCol w:w="1140"/>
        <w:gridCol w:w="1030"/>
        <w:gridCol w:w="1126"/>
        <w:gridCol w:w="1504"/>
      </w:tblGrid>
      <w:tr w14:paraId="2FE6F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2040" w:type="dxa"/>
            <w:vAlign w:val="center"/>
          </w:tcPr>
          <w:p w14:paraId="54553746">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课程平台</w:t>
            </w:r>
          </w:p>
        </w:tc>
        <w:tc>
          <w:tcPr>
            <w:tcW w:w="2598" w:type="dxa"/>
            <w:vAlign w:val="center"/>
          </w:tcPr>
          <w:p w14:paraId="1C830CB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课程模块</w:t>
            </w:r>
          </w:p>
        </w:tc>
        <w:tc>
          <w:tcPr>
            <w:tcW w:w="1140" w:type="dxa"/>
            <w:vAlign w:val="center"/>
          </w:tcPr>
          <w:p w14:paraId="4F0C35FD">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课程性质</w:t>
            </w:r>
          </w:p>
        </w:tc>
        <w:tc>
          <w:tcPr>
            <w:tcW w:w="1030" w:type="dxa"/>
            <w:vAlign w:val="center"/>
          </w:tcPr>
          <w:p w14:paraId="55576F1F">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修读学分要求</w:t>
            </w:r>
          </w:p>
        </w:tc>
        <w:tc>
          <w:tcPr>
            <w:tcW w:w="1126" w:type="dxa"/>
            <w:vAlign w:val="center"/>
          </w:tcPr>
          <w:p w14:paraId="264AAD7C">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占总学分</w:t>
            </w:r>
          </w:p>
          <w:p w14:paraId="38A22C09">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比例</w:t>
            </w:r>
          </w:p>
        </w:tc>
        <w:tc>
          <w:tcPr>
            <w:tcW w:w="1504" w:type="dxa"/>
            <w:vAlign w:val="center"/>
          </w:tcPr>
          <w:p w14:paraId="63C7F3CC">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rPr>
            </w:pPr>
            <w:r>
              <w:rPr>
                <w:rFonts w:hint="eastAsia" w:ascii="Times New Roman" w:hAnsi="Times New Roman" w:eastAsia="黑体" w:cs="Times New Roman"/>
                <w:b w:val="0"/>
                <w:bCs/>
                <w:color w:val="auto"/>
                <w:sz w:val="18"/>
                <w:szCs w:val="18"/>
              </w:rPr>
              <w:t>备注</w:t>
            </w:r>
          </w:p>
        </w:tc>
      </w:tr>
      <w:tr w14:paraId="0EBBC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221AE9E">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通识教育平台</w:t>
            </w:r>
          </w:p>
        </w:tc>
        <w:tc>
          <w:tcPr>
            <w:tcW w:w="2598" w:type="dxa"/>
            <w:vAlign w:val="center"/>
          </w:tcPr>
          <w:p w14:paraId="375EAC51">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通识必修课程模块</w:t>
            </w:r>
          </w:p>
        </w:tc>
        <w:tc>
          <w:tcPr>
            <w:tcW w:w="1140" w:type="dxa"/>
            <w:vAlign w:val="center"/>
          </w:tcPr>
          <w:p w14:paraId="53B45CD5">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5FB06B49">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43.5</w:t>
            </w:r>
          </w:p>
        </w:tc>
        <w:tc>
          <w:tcPr>
            <w:tcW w:w="1126" w:type="dxa"/>
            <w:vMerge w:val="restart"/>
            <w:vAlign w:val="center"/>
          </w:tcPr>
          <w:p w14:paraId="25573A69">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35.77%</w:t>
            </w:r>
          </w:p>
        </w:tc>
        <w:tc>
          <w:tcPr>
            <w:tcW w:w="1504" w:type="dxa"/>
            <w:vMerge w:val="restart"/>
            <w:vAlign w:val="center"/>
          </w:tcPr>
          <w:p w14:paraId="4A04AFAA">
            <w:pPr>
              <w:keepNext w:val="0"/>
              <w:keepLines w:val="0"/>
              <w:pageBreakBefore w:val="0"/>
              <w:wordWrap/>
              <w:topLinePunct w:val="0"/>
              <w:bidi w:val="0"/>
              <w:adjustRightInd w:val="0"/>
              <w:snapToGrid w:val="0"/>
              <w:spacing w:line="240" w:lineRule="auto"/>
              <w:ind w:left="0" w:right="0"/>
              <w:jc w:val="center"/>
              <w:rPr>
                <w:rFonts w:hint="eastAsia" w:ascii="宋体" w:hAnsi="宋体" w:eastAsia="宋体" w:cs="宋体"/>
                <w:bCs/>
                <w:sz w:val="18"/>
                <w:szCs w:val="18"/>
              </w:rPr>
            </w:pPr>
            <w:r>
              <w:rPr>
                <w:rFonts w:hint="eastAsia" w:ascii="宋体" w:hAnsi="宋体" w:eastAsia="宋体" w:cs="宋体"/>
                <w:bCs/>
                <w:sz w:val="18"/>
                <w:szCs w:val="18"/>
              </w:rPr>
              <w:t>两个平台课程学分相加即为总学分。</w:t>
            </w:r>
          </w:p>
          <w:p w14:paraId="120D4402">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其中，专业选修课程模块包含专业限选课和专业任选课</w:t>
            </w:r>
          </w:p>
        </w:tc>
      </w:tr>
      <w:tr w14:paraId="7C863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2E7FE8D0">
            <w:pPr>
              <w:keepNext w:val="0"/>
              <w:keepLines w:val="0"/>
              <w:pageBreakBefore w:val="0"/>
              <w:widowControl/>
              <w:wordWrap/>
              <w:topLinePunct w:val="0"/>
              <w:bidi w:val="0"/>
              <w:adjustRightInd w:val="0"/>
              <w:snapToGrid w:val="0"/>
              <w:spacing w:line="240" w:lineRule="auto"/>
              <w:ind w:left="0" w:right="0"/>
              <w:jc w:val="center"/>
              <w:rPr>
                <w:rFonts w:ascii="宋体" w:hAnsi="宋体" w:eastAsia="宋体" w:cs="宋体"/>
                <w:bCs/>
                <w:sz w:val="18"/>
                <w:szCs w:val="18"/>
              </w:rPr>
            </w:pPr>
          </w:p>
        </w:tc>
        <w:tc>
          <w:tcPr>
            <w:tcW w:w="2598" w:type="dxa"/>
            <w:vAlign w:val="center"/>
          </w:tcPr>
          <w:p w14:paraId="4F0620CE">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公共选修课程模块</w:t>
            </w:r>
          </w:p>
        </w:tc>
        <w:tc>
          <w:tcPr>
            <w:tcW w:w="1140" w:type="dxa"/>
            <w:vAlign w:val="center"/>
          </w:tcPr>
          <w:p w14:paraId="1BCB522E">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037556A2">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3</w:t>
            </w:r>
          </w:p>
        </w:tc>
        <w:tc>
          <w:tcPr>
            <w:tcW w:w="1126" w:type="dxa"/>
            <w:vMerge w:val="continue"/>
            <w:vAlign w:val="center"/>
          </w:tcPr>
          <w:p w14:paraId="4EA92990">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c>
          <w:tcPr>
            <w:tcW w:w="1504" w:type="dxa"/>
            <w:vMerge w:val="continue"/>
            <w:vAlign w:val="center"/>
          </w:tcPr>
          <w:p w14:paraId="70DAC7E7">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r>
      <w:tr w14:paraId="4B3417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0CC177C2">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r>
              <w:rPr>
                <w:rFonts w:hint="eastAsia" w:ascii="宋体" w:hAnsi="宋体" w:eastAsia="宋体" w:cs="宋体"/>
                <w:bCs/>
                <w:sz w:val="18"/>
                <w:szCs w:val="18"/>
              </w:rPr>
              <w:t>专业教育平台</w:t>
            </w:r>
          </w:p>
        </w:tc>
        <w:tc>
          <w:tcPr>
            <w:tcW w:w="2598" w:type="dxa"/>
            <w:vAlign w:val="center"/>
          </w:tcPr>
          <w:p w14:paraId="790C8BBF">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专业基础课程模块</w:t>
            </w:r>
          </w:p>
        </w:tc>
        <w:tc>
          <w:tcPr>
            <w:tcW w:w="1140" w:type="dxa"/>
            <w:vAlign w:val="center"/>
          </w:tcPr>
          <w:p w14:paraId="4BE360BD">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19BB3A5D">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16</w:t>
            </w:r>
          </w:p>
        </w:tc>
        <w:tc>
          <w:tcPr>
            <w:tcW w:w="1126" w:type="dxa"/>
            <w:vMerge w:val="restart"/>
            <w:vAlign w:val="center"/>
          </w:tcPr>
          <w:p w14:paraId="56E52EA5">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64.23%</w:t>
            </w:r>
          </w:p>
        </w:tc>
        <w:tc>
          <w:tcPr>
            <w:tcW w:w="1504" w:type="dxa"/>
            <w:vMerge w:val="continue"/>
            <w:vAlign w:val="center"/>
          </w:tcPr>
          <w:p w14:paraId="62938F7D">
            <w:pPr>
              <w:keepNext w:val="0"/>
              <w:keepLines w:val="0"/>
              <w:pageBreakBefore w:val="0"/>
              <w:wordWrap/>
              <w:topLinePunct w:val="0"/>
              <w:bidi w:val="0"/>
              <w:adjustRightInd w:val="0"/>
              <w:snapToGrid w:val="0"/>
              <w:spacing w:line="240" w:lineRule="auto"/>
              <w:ind w:left="0" w:right="0" w:hanging="21" w:hangingChars="12"/>
              <w:jc w:val="center"/>
              <w:rPr>
                <w:rFonts w:ascii="宋体" w:hAnsi="宋体" w:eastAsia="宋体" w:cs="宋体"/>
                <w:bCs/>
                <w:sz w:val="18"/>
                <w:szCs w:val="18"/>
              </w:rPr>
            </w:pPr>
          </w:p>
        </w:tc>
      </w:tr>
      <w:tr w14:paraId="1E353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78ED797D">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p>
        </w:tc>
        <w:tc>
          <w:tcPr>
            <w:tcW w:w="2598" w:type="dxa"/>
            <w:vAlign w:val="center"/>
          </w:tcPr>
          <w:p w14:paraId="182BF0FF">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专业</w:t>
            </w:r>
            <w:r>
              <w:rPr>
                <w:rFonts w:hint="eastAsia" w:ascii="宋体" w:hAnsi="宋体" w:eastAsia="宋体" w:cs="宋体"/>
                <w:bCs/>
                <w:sz w:val="18"/>
                <w:szCs w:val="18"/>
                <w:lang w:val="en-US" w:eastAsia="zh-CN"/>
              </w:rPr>
              <w:t>必修</w:t>
            </w:r>
            <w:r>
              <w:rPr>
                <w:rFonts w:hint="eastAsia" w:ascii="宋体" w:hAnsi="宋体" w:eastAsia="宋体" w:cs="宋体"/>
                <w:bCs/>
                <w:sz w:val="18"/>
                <w:szCs w:val="18"/>
              </w:rPr>
              <w:t>课程模块</w:t>
            </w:r>
          </w:p>
        </w:tc>
        <w:tc>
          <w:tcPr>
            <w:tcW w:w="1140" w:type="dxa"/>
            <w:vAlign w:val="center"/>
          </w:tcPr>
          <w:p w14:paraId="5DF1C290">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17E6DDEB">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51.5</w:t>
            </w:r>
          </w:p>
        </w:tc>
        <w:tc>
          <w:tcPr>
            <w:tcW w:w="1126" w:type="dxa"/>
            <w:vMerge w:val="continue"/>
            <w:vAlign w:val="center"/>
          </w:tcPr>
          <w:p w14:paraId="2AAC5D01">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c>
          <w:tcPr>
            <w:tcW w:w="1504" w:type="dxa"/>
            <w:vMerge w:val="continue"/>
            <w:vAlign w:val="center"/>
          </w:tcPr>
          <w:p w14:paraId="1AC5F470">
            <w:pPr>
              <w:keepNext w:val="0"/>
              <w:keepLines w:val="0"/>
              <w:pageBreakBefore w:val="0"/>
              <w:wordWrap/>
              <w:topLinePunct w:val="0"/>
              <w:bidi w:val="0"/>
              <w:adjustRightInd w:val="0"/>
              <w:snapToGrid w:val="0"/>
              <w:spacing w:line="240" w:lineRule="auto"/>
              <w:ind w:left="0" w:right="0" w:hanging="21" w:hangingChars="12"/>
              <w:jc w:val="center"/>
              <w:rPr>
                <w:rFonts w:ascii="宋体" w:hAnsi="宋体" w:eastAsia="宋体" w:cs="宋体"/>
                <w:bCs/>
                <w:sz w:val="18"/>
                <w:szCs w:val="18"/>
              </w:rPr>
            </w:pPr>
          </w:p>
        </w:tc>
      </w:tr>
      <w:tr w14:paraId="4E908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66258FCE">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p>
        </w:tc>
        <w:tc>
          <w:tcPr>
            <w:tcW w:w="2598" w:type="dxa"/>
            <w:vAlign w:val="center"/>
          </w:tcPr>
          <w:p w14:paraId="65FCE524">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专业选修课程模块</w:t>
            </w:r>
          </w:p>
        </w:tc>
        <w:tc>
          <w:tcPr>
            <w:tcW w:w="1140" w:type="dxa"/>
            <w:vAlign w:val="center"/>
          </w:tcPr>
          <w:p w14:paraId="59C00083">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选修</w:t>
            </w:r>
          </w:p>
        </w:tc>
        <w:tc>
          <w:tcPr>
            <w:tcW w:w="1030" w:type="dxa"/>
            <w:vAlign w:val="center"/>
          </w:tcPr>
          <w:p w14:paraId="7AC746FC">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16</w:t>
            </w:r>
          </w:p>
        </w:tc>
        <w:tc>
          <w:tcPr>
            <w:tcW w:w="1126" w:type="dxa"/>
            <w:vMerge w:val="continue"/>
            <w:vAlign w:val="center"/>
          </w:tcPr>
          <w:p w14:paraId="72C91357">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c>
          <w:tcPr>
            <w:tcW w:w="1504" w:type="dxa"/>
            <w:vMerge w:val="continue"/>
            <w:vAlign w:val="center"/>
          </w:tcPr>
          <w:p w14:paraId="3E34E267">
            <w:pPr>
              <w:keepNext w:val="0"/>
              <w:keepLines w:val="0"/>
              <w:pageBreakBefore w:val="0"/>
              <w:wordWrap/>
              <w:topLinePunct w:val="0"/>
              <w:bidi w:val="0"/>
              <w:adjustRightInd w:val="0"/>
              <w:snapToGrid w:val="0"/>
              <w:spacing w:line="240" w:lineRule="auto"/>
              <w:ind w:left="0" w:right="0" w:hanging="21" w:hangingChars="12"/>
              <w:jc w:val="center"/>
              <w:rPr>
                <w:rFonts w:ascii="宋体" w:hAnsi="宋体" w:eastAsia="宋体" w:cs="宋体"/>
                <w:bCs/>
                <w:sz w:val="18"/>
                <w:szCs w:val="18"/>
              </w:rPr>
            </w:pPr>
          </w:p>
        </w:tc>
      </w:tr>
      <w:tr w14:paraId="05A2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60222AEB">
            <w:pPr>
              <w:keepNext w:val="0"/>
              <w:keepLines w:val="0"/>
              <w:pageBreakBefore w:val="0"/>
              <w:wordWrap/>
              <w:topLinePunct w:val="0"/>
              <w:bidi w:val="0"/>
              <w:adjustRightInd w:val="0"/>
              <w:snapToGrid w:val="0"/>
              <w:spacing w:line="240" w:lineRule="auto"/>
              <w:ind w:left="0" w:right="0"/>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6E29897B">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
                <w:sz w:val="18"/>
                <w:szCs w:val="18"/>
                <w:lang w:val="en-US" w:eastAsia="zh-CN"/>
              </w:rPr>
            </w:pPr>
            <w:r>
              <w:rPr>
                <w:rFonts w:hint="eastAsia" w:ascii="宋体" w:hAnsi="宋体" w:eastAsia="宋体" w:cs="宋体"/>
                <w:b w:val="0"/>
                <w:bCs/>
                <w:sz w:val="18"/>
                <w:szCs w:val="18"/>
                <w:highlight w:val="none"/>
                <w:lang w:val="en-US" w:eastAsia="zh-CN"/>
              </w:rPr>
              <w:t>130</w:t>
            </w:r>
          </w:p>
        </w:tc>
        <w:tc>
          <w:tcPr>
            <w:tcW w:w="1126" w:type="dxa"/>
            <w:vAlign w:val="center"/>
          </w:tcPr>
          <w:p w14:paraId="4450E28B">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79484DDE">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r>
      <w:tr w14:paraId="7D792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restart"/>
            <w:vAlign w:val="center"/>
          </w:tcPr>
          <w:p w14:paraId="1CD23A60">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r>
              <w:rPr>
                <w:rFonts w:hint="eastAsia" w:ascii="宋体" w:hAnsi="宋体" w:eastAsia="宋体" w:cs="宋体"/>
                <w:bCs/>
                <w:sz w:val="18"/>
                <w:szCs w:val="18"/>
              </w:rPr>
              <w:t>实践教育平台</w:t>
            </w:r>
          </w:p>
        </w:tc>
        <w:tc>
          <w:tcPr>
            <w:tcW w:w="2598" w:type="dxa"/>
            <w:vAlign w:val="center"/>
          </w:tcPr>
          <w:p w14:paraId="3E3BC0A2">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pacing w:val="-10"/>
                <w:sz w:val="18"/>
                <w:szCs w:val="18"/>
              </w:rPr>
            </w:pPr>
            <w:r>
              <w:rPr>
                <w:rFonts w:hint="eastAsia" w:ascii="宋体" w:hAnsi="宋体" w:eastAsia="宋体" w:cs="宋体"/>
                <w:bCs/>
                <w:sz w:val="18"/>
                <w:szCs w:val="18"/>
              </w:rPr>
              <w:t>公共基础必修课程模块</w:t>
            </w:r>
          </w:p>
        </w:tc>
        <w:tc>
          <w:tcPr>
            <w:tcW w:w="1140" w:type="dxa"/>
            <w:vAlign w:val="center"/>
          </w:tcPr>
          <w:p w14:paraId="37218F50">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74CF34AA">
            <w:pPr>
              <w:keepNext w:val="0"/>
              <w:keepLines w:val="0"/>
              <w:pageBreakBefore w:val="0"/>
              <w:wordWrap/>
              <w:topLinePunct w:val="0"/>
              <w:bidi w:val="0"/>
              <w:adjustRightInd w:val="0"/>
              <w:snapToGrid w:val="0"/>
              <w:spacing w:line="240" w:lineRule="auto"/>
              <w:ind w:left="0" w:right="0" w:hanging="635" w:hangingChars="353"/>
              <w:jc w:val="center"/>
              <w:rPr>
                <w:rFonts w:hint="eastAsia" w:ascii="宋体" w:hAnsi="宋体" w:eastAsia="宋体" w:cs="宋体"/>
                <w:bCs/>
                <w:sz w:val="18"/>
                <w:szCs w:val="18"/>
                <w:lang w:eastAsia="zh-CN"/>
              </w:rPr>
            </w:pPr>
            <w:r>
              <w:rPr>
                <w:rFonts w:hint="eastAsia" w:ascii="宋体" w:hAnsi="宋体" w:eastAsia="宋体" w:cs="宋体"/>
                <w:bCs/>
                <w:sz w:val="18"/>
                <w:szCs w:val="18"/>
                <w:lang w:val="en-US" w:eastAsia="zh-CN"/>
              </w:rPr>
              <w:t>4</w:t>
            </w:r>
          </w:p>
        </w:tc>
        <w:tc>
          <w:tcPr>
            <w:tcW w:w="1126" w:type="dxa"/>
            <w:vMerge w:val="restart"/>
            <w:vAlign w:val="center"/>
          </w:tcPr>
          <w:p w14:paraId="753FCC78">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30.77%</w:t>
            </w:r>
          </w:p>
        </w:tc>
        <w:tc>
          <w:tcPr>
            <w:tcW w:w="1504" w:type="dxa"/>
            <w:vMerge w:val="restart"/>
            <w:vAlign w:val="center"/>
          </w:tcPr>
          <w:p w14:paraId="1F9B6F71">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p>
        </w:tc>
      </w:tr>
      <w:tr w14:paraId="160A6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2040" w:type="dxa"/>
            <w:vMerge w:val="continue"/>
            <w:vAlign w:val="center"/>
          </w:tcPr>
          <w:p w14:paraId="398A8E99">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p>
        </w:tc>
        <w:tc>
          <w:tcPr>
            <w:tcW w:w="2598" w:type="dxa"/>
            <w:vAlign w:val="center"/>
          </w:tcPr>
          <w:p w14:paraId="6A845332">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pacing w:val="-10"/>
                <w:sz w:val="18"/>
                <w:szCs w:val="18"/>
              </w:rPr>
            </w:pPr>
            <w:r>
              <w:rPr>
                <w:rFonts w:hint="eastAsia" w:ascii="宋体" w:hAnsi="宋体" w:eastAsia="宋体" w:cs="宋体"/>
                <w:bCs/>
                <w:sz w:val="18"/>
                <w:szCs w:val="18"/>
              </w:rPr>
              <w:t>专业必修课程模块</w:t>
            </w:r>
          </w:p>
        </w:tc>
        <w:tc>
          <w:tcPr>
            <w:tcW w:w="1140" w:type="dxa"/>
            <w:vAlign w:val="center"/>
          </w:tcPr>
          <w:p w14:paraId="1FF81498">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r>
              <w:rPr>
                <w:rFonts w:hint="eastAsia" w:ascii="宋体" w:hAnsi="宋体" w:eastAsia="宋体" w:cs="宋体"/>
                <w:bCs/>
                <w:sz w:val="18"/>
                <w:szCs w:val="18"/>
              </w:rPr>
              <w:t>必修</w:t>
            </w:r>
          </w:p>
        </w:tc>
        <w:tc>
          <w:tcPr>
            <w:tcW w:w="1030" w:type="dxa"/>
            <w:vAlign w:val="center"/>
          </w:tcPr>
          <w:p w14:paraId="679914F4">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Cs/>
                <w:sz w:val="18"/>
                <w:szCs w:val="18"/>
                <w:lang w:val="en-US" w:eastAsia="zh-CN"/>
              </w:rPr>
            </w:pPr>
            <w:r>
              <w:rPr>
                <w:rFonts w:hint="eastAsia" w:ascii="宋体" w:hAnsi="宋体" w:eastAsia="宋体" w:cs="宋体"/>
                <w:bCs/>
                <w:sz w:val="18"/>
                <w:szCs w:val="18"/>
                <w:lang w:val="en-US" w:eastAsia="zh-CN"/>
              </w:rPr>
              <w:t>36</w:t>
            </w:r>
          </w:p>
        </w:tc>
        <w:tc>
          <w:tcPr>
            <w:tcW w:w="1126" w:type="dxa"/>
            <w:vMerge w:val="continue"/>
            <w:vAlign w:val="center"/>
          </w:tcPr>
          <w:p w14:paraId="740158BA">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p>
        </w:tc>
        <w:tc>
          <w:tcPr>
            <w:tcW w:w="1504" w:type="dxa"/>
            <w:vMerge w:val="continue"/>
            <w:vAlign w:val="center"/>
          </w:tcPr>
          <w:p w14:paraId="5D3F0226">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p>
        </w:tc>
      </w:tr>
      <w:tr w14:paraId="06A558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exact"/>
          <w:jc w:val="center"/>
        </w:trPr>
        <w:tc>
          <w:tcPr>
            <w:tcW w:w="5778" w:type="dxa"/>
            <w:gridSpan w:val="3"/>
            <w:vAlign w:val="center"/>
          </w:tcPr>
          <w:p w14:paraId="51C4B4A8">
            <w:pPr>
              <w:keepNext w:val="0"/>
              <w:keepLines w:val="0"/>
              <w:pageBreakBefore w:val="0"/>
              <w:wordWrap/>
              <w:topLinePunct w:val="0"/>
              <w:bidi w:val="0"/>
              <w:adjustRightInd w:val="0"/>
              <w:snapToGrid w:val="0"/>
              <w:spacing w:line="240" w:lineRule="auto"/>
              <w:ind w:left="0" w:right="0"/>
              <w:jc w:val="center"/>
              <w:rPr>
                <w:rFonts w:ascii="宋体" w:hAnsi="宋体" w:eastAsia="宋体" w:cs="宋体"/>
                <w:b/>
                <w:sz w:val="18"/>
                <w:szCs w:val="18"/>
              </w:rPr>
            </w:pPr>
            <w:r>
              <w:rPr>
                <w:rFonts w:hint="eastAsia" w:ascii="宋体" w:hAnsi="宋体" w:eastAsia="宋体" w:cs="宋体"/>
                <w:b/>
                <w:sz w:val="18"/>
                <w:szCs w:val="18"/>
              </w:rPr>
              <w:t>合计</w:t>
            </w:r>
          </w:p>
        </w:tc>
        <w:tc>
          <w:tcPr>
            <w:tcW w:w="1030" w:type="dxa"/>
            <w:vAlign w:val="center"/>
          </w:tcPr>
          <w:p w14:paraId="1B4AF80B">
            <w:pPr>
              <w:keepNext w:val="0"/>
              <w:keepLines w:val="0"/>
              <w:pageBreakBefore w:val="0"/>
              <w:wordWrap/>
              <w:topLinePunct w:val="0"/>
              <w:bidi w:val="0"/>
              <w:adjustRightInd w:val="0"/>
              <w:snapToGrid w:val="0"/>
              <w:spacing w:line="240" w:lineRule="auto"/>
              <w:ind w:left="0" w:right="0" w:hanging="635" w:hangingChars="353"/>
              <w:jc w:val="center"/>
              <w:rPr>
                <w:rFonts w:hint="default" w:ascii="宋体" w:hAnsi="宋体" w:eastAsia="宋体" w:cs="宋体"/>
                <w:b/>
                <w:sz w:val="18"/>
                <w:szCs w:val="18"/>
                <w:lang w:val="en-US" w:eastAsia="zh-CN"/>
              </w:rPr>
            </w:pPr>
            <w:r>
              <w:rPr>
                <w:rFonts w:hint="eastAsia" w:ascii="宋体" w:hAnsi="宋体" w:eastAsia="宋体" w:cs="宋体"/>
                <w:b w:val="0"/>
                <w:bCs/>
                <w:sz w:val="18"/>
                <w:szCs w:val="18"/>
                <w:lang w:val="en-US" w:eastAsia="zh-CN"/>
              </w:rPr>
              <w:t>40</w:t>
            </w:r>
          </w:p>
        </w:tc>
        <w:tc>
          <w:tcPr>
            <w:tcW w:w="1126" w:type="dxa"/>
            <w:vAlign w:val="center"/>
          </w:tcPr>
          <w:p w14:paraId="587A8FC7">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w:t>
            </w:r>
          </w:p>
        </w:tc>
        <w:tc>
          <w:tcPr>
            <w:tcW w:w="1504" w:type="dxa"/>
            <w:vMerge w:val="continue"/>
            <w:vAlign w:val="center"/>
          </w:tcPr>
          <w:p w14:paraId="2B7BB112">
            <w:pPr>
              <w:keepNext w:val="0"/>
              <w:keepLines w:val="0"/>
              <w:pageBreakBefore w:val="0"/>
              <w:wordWrap/>
              <w:topLinePunct w:val="0"/>
              <w:bidi w:val="0"/>
              <w:adjustRightInd w:val="0"/>
              <w:snapToGrid w:val="0"/>
              <w:spacing w:line="240" w:lineRule="auto"/>
              <w:ind w:left="0" w:right="0"/>
              <w:jc w:val="center"/>
              <w:rPr>
                <w:rFonts w:ascii="宋体" w:hAnsi="宋体" w:eastAsia="宋体" w:cs="宋体"/>
                <w:bCs/>
                <w:sz w:val="18"/>
                <w:szCs w:val="18"/>
              </w:rPr>
            </w:pPr>
          </w:p>
        </w:tc>
      </w:tr>
      <w:tr w14:paraId="48BD4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jc w:val="center"/>
        </w:trPr>
        <w:tc>
          <w:tcPr>
            <w:tcW w:w="5778" w:type="dxa"/>
            <w:gridSpan w:val="3"/>
            <w:vAlign w:val="center"/>
          </w:tcPr>
          <w:p w14:paraId="6ECACF95">
            <w:pPr>
              <w:keepNext w:val="0"/>
              <w:keepLines w:val="0"/>
              <w:pageBreakBefore w:val="0"/>
              <w:wordWrap/>
              <w:topLinePunct w:val="0"/>
              <w:bidi w:val="0"/>
              <w:adjustRightInd w:val="0"/>
              <w:snapToGrid w:val="0"/>
              <w:spacing w:line="240" w:lineRule="auto"/>
              <w:ind w:left="0" w:right="0" w:firstLine="90" w:firstLineChars="50"/>
              <w:jc w:val="center"/>
              <w:rPr>
                <w:rFonts w:ascii="宋体" w:hAnsi="宋体" w:eastAsia="宋体" w:cs="宋体"/>
                <w:bCs/>
                <w:sz w:val="18"/>
                <w:szCs w:val="18"/>
              </w:rPr>
            </w:pPr>
            <w:r>
              <w:rPr>
                <w:rFonts w:hint="eastAsia" w:ascii="宋体" w:hAnsi="宋体" w:eastAsia="宋体" w:cs="宋体"/>
                <w:bCs/>
                <w:sz w:val="18"/>
                <w:szCs w:val="18"/>
              </w:rPr>
              <w:t>素质拓展平台</w:t>
            </w:r>
          </w:p>
        </w:tc>
        <w:tc>
          <w:tcPr>
            <w:tcW w:w="1030" w:type="dxa"/>
            <w:vAlign w:val="center"/>
          </w:tcPr>
          <w:p w14:paraId="48FF46AE">
            <w:pPr>
              <w:keepNext w:val="0"/>
              <w:keepLines w:val="0"/>
              <w:pageBreakBefore w:val="0"/>
              <w:wordWrap/>
              <w:topLinePunct w:val="0"/>
              <w:bidi w:val="0"/>
              <w:adjustRightInd w:val="0"/>
              <w:snapToGrid w:val="0"/>
              <w:spacing w:line="240" w:lineRule="auto"/>
              <w:ind w:left="0" w:right="0" w:hanging="635" w:hangingChars="353"/>
              <w:jc w:val="center"/>
              <w:rPr>
                <w:rFonts w:ascii="宋体" w:hAnsi="宋体" w:eastAsia="宋体" w:cs="宋体"/>
                <w:bCs/>
                <w:sz w:val="18"/>
                <w:szCs w:val="18"/>
              </w:rPr>
            </w:pPr>
            <w:r>
              <w:rPr>
                <w:rFonts w:hint="eastAsia" w:ascii="宋体" w:hAnsi="宋体" w:eastAsia="宋体" w:cs="宋体"/>
                <w:bCs/>
                <w:sz w:val="18"/>
                <w:szCs w:val="18"/>
              </w:rPr>
              <w:t>8</w:t>
            </w:r>
          </w:p>
        </w:tc>
        <w:tc>
          <w:tcPr>
            <w:tcW w:w="2630" w:type="dxa"/>
            <w:gridSpan w:val="2"/>
            <w:vAlign w:val="center"/>
          </w:tcPr>
          <w:p w14:paraId="46B4F37C">
            <w:pPr>
              <w:keepNext w:val="0"/>
              <w:keepLines w:val="0"/>
              <w:pageBreakBefore w:val="0"/>
              <w:wordWrap/>
              <w:topLinePunct w:val="0"/>
              <w:bidi w:val="0"/>
              <w:adjustRightInd w:val="0"/>
              <w:snapToGrid w:val="0"/>
              <w:spacing w:line="240" w:lineRule="auto"/>
              <w:ind w:left="0" w:right="0" w:firstLine="270" w:firstLineChars="150"/>
              <w:jc w:val="left"/>
              <w:rPr>
                <w:rFonts w:ascii="宋体" w:hAnsi="宋体" w:eastAsia="宋体" w:cs="宋体"/>
                <w:bCs/>
                <w:sz w:val="18"/>
                <w:szCs w:val="18"/>
              </w:rPr>
            </w:pPr>
            <w:r>
              <w:rPr>
                <w:rFonts w:hint="eastAsia" w:ascii="宋体" w:hAnsi="宋体" w:eastAsia="宋体" w:cs="宋体"/>
                <w:bCs/>
                <w:sz w:val="18"/>
                <w:szCs w:val="18"/>
              </w:rPr>
              <w:t>不列入教学进程计划表，学生毕业前在总学分之外至少必修综合素质拓展教育8学分。具体实施与认定按</w:t>
            </w:r>
            <w:r>
              <w:rPr>
                <w:rFonts w:hint="eastAsia" w:ascii="宋体" w:hAnsi="宋体" w:eastAsia="宋体" w:cs="宋体"/>
                <w:kern w:val="0"/>
                <w:sz w:val="18"/>
                <w:szCs w:val="18"/>
                <w:shd w:val="clear" w:color="auto" w:fill="FFFFFF"/>
              </w:rPr>
              <w:t>《黄河交通学院学生素质拓展学分认定及管理办法》</w:t>
            </w:r>
            <w:r>
              <w:rPr>
                <w:rFonts w:hint="eastAsia" w:ascii="宋体" w:hAnsi="宋体" w:eastAsia="宋体" w:cs="宋体"/>
                <w:bCs/>
                <w:sz w:val="18"/>
                <w:szCs w:val="18"/>
              </w:rPr>
              <w:t>。</w:t>
            </w:r>
          </w:p>
        </w:tc>
      </w:tr>
    </w:tbl>
    <w:p w14:paraId="1B316951">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（二）课程设置表</w:t>
      </w:r>
    </w:p>
    <w:p w14:paraId="224767B5">
      <w:pPr>
        <w:pStyle w:val="16"/>
        <w:keepNext w:val="0"/>
        <w:keepLines w:val="0"/>
        <w:pageBreakBefore w:val="0"/>
        <w:widowControl w:val="0"/>
        <w:kinsoku/>
        <w:wordWrap/>
        <w:overflowPunct/>
        <w:topLinePunct w:val="0"/>
        <w:autoSpaceDE/>
        <w:autoSpaceDN/>
        <w:bidi w:val="0"/>
        <w:adjustRightInd/>
        <w:snapToGrid/>
        <w:spacing w:before="0" w:after="0" w:line="400" w:lineRule="exact"/>
        <w:ind w:left="0" w:leftChars="0" w:right="0" w:firstLine="0" w:firstLineChars="0"/>
        <w:jc w:val="center"/>
        <w:textAlignment w:val="auto"/>
        <w:rPr>
          <w:rFonts w:hint="eastAsia" w:ascii="黑体" w:hAnsi="黑体" w:eastAsia="黑体" w:cs="黑体"/>
          <w:color w:val="000000"/>
          <w:kern w:val="0"/>
          <w:szCs w:val="21"/>
          <w:highlight w:val="none"/>
          <w:lang w:val="en-US" w:eastAsia="zh-CN"/>
        </w:rPr>
      </w:pPr>
      <w:r>
        <w:rPr>
          <w:rFonts w:hint="eastAsia" w:ascii="黑体" w:hAnsi="黑体" w:eastAsia="黑体" w:cs="黑体"/>
          <w:color w:val="000000"/>
          <w:kern w:val="0"/>
          <w:szCs w:val="21"/>
          <w:highlight w:val="none"/>
          <w:lang w:val="en-US" w:eastAsia="zh-CN"/>
        </w:rPr>
        <w:t>表8新能源汽车技术专业课程设置表</w:t>
      </w:r>
    </w:p>
    <w:tbl>
      <w:tblPr>
        <w:tblStyle w:val="12"/>
        <w:tblW w:w="5681"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Layout w:type="fixed"/>
        <w:tblCellMar>
          <w:top w:w="0" w:type="dxa"/>
          <w:left w:w="0" w:type="dxa"/>
          <w:bottom w:w="0" w:type="dxa"/>
          <w:right w:w="0" w:type="dxa"/>
        </w:tblCellMar>
      </w:tblPr>
      <w:tblGrid>
        <w:gridCol w:w="480"/>
        <w:gridCol w:w="520"/>
        <w:gridCol w:w="1222"/>
        <w:gridCol w:w="2367"/>
        <w:gridCol w:w="580"/>
        <w:gridCol w:w="470"/>
        <w:gridCol w:w="540"/>
        <w:gridCol w:w="570"/>
        <w:gridCol w:w="560"/>
        <w:gridCol w:w="620"/>
        <w:gridCol w:w="1536"/>
      </w:tblGrid>
      <w:tr w14:paraId="73E945F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7" w:hRule="atLeast"/>
          <w:tblHeader/>
          <w:jc w:val="center"/>
        </w:trPr>
        <w:tc>
          <w:tcPr>
            <w:tcW w:w="253" w:type="pct"/>
            <w:vMerge w:val="restart"/>
            <w:tcBorders>
              <w:tl2br w:val="nil"/>
              <w:tr2bl w:val="nil"/>
            </w:tcBorders>
            <w:shd w:val="clear" w:color="auto" w:fill="auto"/>
            <w:tcMar>
              <w:top w:w="12" w:type="dxa"/>
              <w:left w:w="12" w:type="dxa"/>
              <w:right w:w="12" w:type="dxa"/>
            </w:tcMar>
            <w:vAlign w:val="center"/>
          </w:tcPr>
          <w:p w14:paraId="2E5E7C6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default"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平台模块</w:t>
            </w:r>
          </w:p>
        </w:tc>
        <w:tc>
          <w:tcPr>
            <w:tcW w:w="274" w:type="pct"/>
            <w:vMerge w:val="restart"/>
            <w:tcBorders>
              <w:tl2br w:val="nil"/>
              <w:tr2bl w:val="nil"/>
            </w:tcBorders>
            <w:shd w:val="clear" w:color="auto" w:fill="auto"/>
            <w:tcMar>
              <w:top w:w="12" w:type="dxa"/>
              <w:left w:w="12" w:type="dxa"/>
              <w:right w:w="12" w:type="dxa"/>
            </w:tcMar>
            <w:vAlign w:val="center"/>
          </w:tcPr>
          <w:p w14:paraId="4550234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类别</w:t>
            </w:r>
          </w:p>
          <w:p w14:paraId="431C194D">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性质</w:t>
            </w:r>
          </w:p>
        </w:tc>
        <w:tc>
          <w:tcPr>
            <w:tcW w:w="645" w:type="pct"/>
            <w:vMerge w:val="restart"/>
            <w:tcBorders>
              <w:tl2br w:val="nil"/>
              <w:tr2bl w:val="nil"/>
            </w:tcBorders>
            <w:shd w:val="clear" w:color="auto" w:fill="auto"/>
            <w:tcMar>
              <w:top w:w="12" w:type="dxa"/>
              <w:left w:w="12" w:type="dxa"/>
              <w:right w:w="12" w:type="dxa"/>
            </w:tcMar>
            <w:vAlign w:val="center"/>
          </w:tcPr>
          <w:p w14:paraId="637DED81">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课程代码</w:t>
            </w:r>
          </w:p>
        </w:tc>
        <w:tc>
          <w:tcPr>
            <w:tcW w:w="1250" w:type="pct"/>
            <w:vMerge w:val="restart"/>
            <w:tcBorders>
              <w:tl2br w:val="nil"/>
              <w:tr2bl w:val="nil"/>
            </w:tcBorders>
            <w:shd w:val="clear" w:color="auto" w:fill="auto"/>
            <w:tcMar>
              <w:top w:w="12" w:type="dxa"/>
              <w:left w:w="12" w:type="dxa"/>
              <w:right w:w="12" w:type="dxa"/>
            </w:tcMar>
            <w:vAlign w:val="center"/>
          </w:tcPr>
          <w:p w14:paraId="4864FF8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课程名称</w:t>
            </w:r>
          </w:p>
        </w:tc>
        <w:tc>
          <w:tcPr>
            <w:tcW w:w="306" w:type="pct"/>
            <w:vMerge w:val="restart"/>
            <w:tcBorders>
              <w:tl2br w:val="nil"/>
              <w:tr2bl w:val="nil"/>
            </w:tcBorders>
            <w:shd w:val="clear" w:color="auto" w:fill="auto"/>
            <w:tcMar>
              <w:top w:w="12" w:type="dxa"/>
              <w:left w:w="12" w:type="dxa"/>
              <w:right w:w="12" w:type="dxa"/>
            </w:tcMar>
            <w:vAlign w:val="center"/>
          </w:tcPr>
          <w:p w14:paraId="2AFA640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学分</w:t>
            </w:r>
          </w:p>
        </w:tc>
        <w:tc>
          <w:tcPr>
            <w:tcW w:w="248" w:type="pct"/>
            <w:vMerge w:val="restart"/>
            <w:tcBorders>
              <w:tl2br w:val="nil"/>
              <w:tr2bl w:val="nil"/>
            </w:tcBorders>
            <w:shd w:val="clear" w:color="auto" w:fill="auto"/>
            <w:tcMar>
              <w:top w:w="12" w:type="dxa"/>
              <w:left w:w="12" w:type="dxa"/>
              <w:right w:w="12" w:type="dxa"/>
            </w:tcMar>
            <w:vAlign w:val="center"/>
          </w:tcPr>
          <w:p w14:paraId="099C7C2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学时</w:t>
            </w:r>
          </w:p>
        </w:tc>
        <w:tc>
          <w:tcPr>
            <w:tcW w:w="586" w:type="pct"/>
            <w:gridSpan w:val="2"/>
            <w:tcBorders>
              <w:tl2br w:val="nil"/>
              <w:tr2bl w:val="nil"/>
            </w:tcBorders>
            <w:shd w:val="clear" w:color="auto" w:fill="auto"/>
            <w:tcMar>
              <w:top w:w="12" w:type="dxa"/>
              <w:left w:w="12" w:type="dxa"/>
              <w:right w:w="12" w:type="dxa"/>
            </w:tcMar>
            <w:vAlign w:val="center"/>
          </w:tcPr>
          <w:p w14:paraId="4C9862E1">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其中</w:t>
            </w:r>
          </w:p>
        </w:tc>
        <w:tc>
          <w:tcPr>
            <w:tcW w:w="295" w:type="pct"/>
            <w:vMerge w:val="restart"/>
            <w:tcBorders>
              <w:tl2br w:val="nil"/>
              <w:tr2bl w:val="nil"/>
            </w:tcBorders>
            <w:shd w:val="clear" w:color="auto" w:fill="auto"/>
            <w:tcMar>
              <w:top w:w="12" w:type="dxa"/>
              <w:left w:w="12" w:type="dxa"/>
              <w:right w:w="12" w:type="dxa"/>
            </w:tcMar>
            <w:vAlign w:val="center"/>
          </w:tcPr>
          <w:p w14:paraId="09E406B3">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考核</w:t>
            </w:r>
          </w:p>
          <w:p w14:paraId="63CF60F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形式</w:t>
            </w:r>
          </w:p>
        </w:tc>
        <w:tc>
          <w:tcPr>
            <w:tcW w:w="327" w:type="pct"/>
            <w:vMerge w:val="restart"/>
            <w:tcBorders>
              <w:tl2br w:val="nil"/>
              <w:tr2bl w:val="nil"/>
            </w:tcBorders>
            <w:shd w:val="clear" w:color="auto" w:fill="auto"/>
            <w:tcMar>
              <w:top w:w="12" w:type="dxa"/>
              <w:left w:w="12" w:type="dxa"/>
              <w:right w:w="12" w:type="dxa"/>
            </w:tcMar>
            <w:vAlign w:val="center"/>
          </w:tcPr>
          <w:p w14:paraId="1997B16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开设</w:t>
            </w:r>
          </w:p>
          <w:p w14:paraId="37B84C27">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学期</w:t>
            </w:r>
          </w:p>
        </w:tc>
        <w:tc>
          <w:tcPr>
            <w:tcW w:w="811" w:type="pct"/>
            <w:vMerge w:val="restart"/>
            <w:tcBorders>
              <w:tl2br w:val="nil"/>
              <w:tr2bl w:val="nil"/>
            </w:tcBorders>
            <w:shd w:val="clear" w:color="auto" w:fill="auto"/>
            <w:tcMar>
              <w:top w:w="12" w:type="dxa"/>
              <w:left w:w="12" w:type="dxa"/>
              <w:right w:w="12" w:type="dxa"/>
            </w:tcMar>
            <w:vAlign w:val="center"/>
          </w:tcPr>
          <w:p w14:paraId="27FC330A">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default"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备注</w:t>
            </w:r>
          </w:p>
        </w:tc>
      </w:tr>
      <w:tr w14:paraId="0E1774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591" w:hRule="atLeast"/>
          <w:tblHeader/>
          <w:jc w:val="center"/>
        </w:trPr>
        <w:tc>
          <w:tcPr>
            <w:tcW w:w="253" w:type="pct"/>
            <w:vMerge w:val="continue"/>
            <w:tcBorders>
              <w:tl2br w:val="nil"/>
              <w:tr2bl w:val="nil"/>
            </w:tcBorders>
            <w:shd w:val="clear" w:color="auto" w:fill="auto"/>
            <w:tcMar>
              <w:top w:w="12" w:type="dxa"/>
              <w:left w:w="12" w:type="dxa"/>
              <w:right w:w="12" w:type="dxa"/>
            </w:tcMar>
            <w:vAlign w:val="center"/>
          </w:tcPr>
          <w:p w14:paraId="21AC2570">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274" w:type="pct"/>
            <w:vMerge w:val="continue"/>
            <w:tcBorders>
              <w:tl2br w:val="nil"/>
              <w:tr2bl w:val="nil"/>
            </w:tcBorders>
            <w:shd w:val="clear" w:color="auto" w:fill="auto"/>
            <w:tcMar>
              <w:top w:w="12" w:type="dxa"/>
              <w:left w:w="12" w:type="dxa"/>
              <w:right w:w="12" w:type="dxa"/>
            </w:tcMar>
            <w:vAlign w:val="center"/>
          </w:tcPr>
          <w:p w14:paraId="32EDF47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645" w:type="pct"/>
            <w:vMerge w:val="continue"/>
            <w:tcBorders>
              <w:tl2br w:val="nil"/>
              <w:tr2bl w:val="nil"/>
            </w:tcBorders>
            <w:shd w:val="clear" w:color="auto" w:fill="auto"/>
            <w:tcMar>
              <w:top w:w="12" w:type="dxa"/>
              <w:left w:w="12" w:type="dxa"/>
              <w:right w:w="12" w:type="dxa"/>
            </w:tcMar>
            <w:vAlign w:val="center"/>
          </w:tcPr>
          <w:p w14:paraId="6444457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1250" w:type="pct"/>
            <w:vMerge w:val="continue"/>
            <w:tcBorders>
              <w:tl2br w:val="nil"/>
              <w:tr2bl w:val="nil"/>
            </w:tcBorders>
            <w:shd w:val="clear" w:color="auto" w:fill="auto"/>
            <w:tcMar>
              <w:top w:w="12" w:type="dxa"/>
              <w:left w:w="12" w:type="dxa"/>
              <w:right w:w="12" w:type="dxa"/>
            </w:tcMar>
            <w:vAlign w:val="center"/>
          </w:tcPr>
          <w:p w14:paraId="3006D59C">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306" w:type="pct"/>
            <w:vMerge w:val="continue"/>
            <w:tcBorders>
              <w:tl2br w:val="nil"/>
              <w:tr2bl w:val="nil"/>
            </w:tcBorders>
            <w:shd w:val="clear" w:color="auto" w:fill="auto"/>
            <w:tcMar>
              <w:top w:w="12" w:type="dxa"/>
              <w:left w:w="12" w:type="dxa"/>
              <w:right w:w="12" w:type="dxa"/>
            </w:tcMar>
            <w:vAlign w:val="center"/>
          </w:tcPr>
          <w:p w14:paraId="1EB0793D">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248" w:type="pct"/>
            <w:vMerge w:val="continue"/>
            <w:tcBorders>
              <w:tl2br w:val="nil"/>
              <w:tr2bl w:val="nil"/>
            </w:tcBorders>
            <w:shd w:val="clear" w:color="auto" w:fill="auto"/>
            <w:tcMar>
              <w:top w:w="12" w:type="dxa"/>
              <w:left w:w="12" w:type="dxa"/>
              <w:right w:w="12" w:type="dxa"/>
            </w:tcMar>
            <w:vAlign w:val="center"/>
          </w:tcPr>
          <w:p w14:paraId="42FD1A22">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rPr>
            </w:pPr>
          </w:p>
        </w:tc>
        <w:tc>
          <w:tcPr>
            <w:tcW w:w="285" w:type="pct"/>
            <w:tcBorders>
              <w:tl2br w:val="nil"/>
              <w:tr2bl w:val="nil"/>
            </w:tcBorders>
            <w:shd w:val="clear" w:color="auto" w:fill="auto"/>
            <w:tcMar>
              <w:top w:w="12" w:type="dxa"/>
              <w:left w:w="12" w:type="dxa"/>
              <w:right w:w="12" w:type="dxa"/>
            </w:tcMar>
            <w:vAlign w:val="center"/>
          </w:tcPr>
          <w:p w14:paraId="03A45F90">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理论</w:t>
            </w:r>
          </w:p>
          <w:p w14:paraId="2CEADEA1">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讲授</w:t>
            </w:r>
          </w:p>
        </w:tc>
        <w:tc>
          <w:tcPr>
            <w:tcW w:w="301" w:type="pct"/>
            <w:tcBorders>
              <w:tl2br w:val="nil"/>
              <w:tr2bl w:val="nil"/>
            </w:tcBorders>
            <w:shd w:val="clear" w:color="auto" w:fill="auto"/>
            <w:tcMar>
              <w:top w:w="12" w:type="dxa"/>
              <w:left w:w="12" w:type="dxa"/>
              <w:right w:w="12" w:type="dxa"/>
            </w:tcMar>
            <w:vAlign w:val="center"/>
          </w:tcPr>
          <w:p w14:paraId="74DE0B25">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实验/</w:t>
            </w:r>
          </w:p>
          <w:p w14:paraId="3E661D3E">
            <w:pPr>
              <w:keepNext w:val="0"/>
              <w:keepLines w:val="0"/>
              <w:pageBreakBefore w:val="0"/>
              <w:widowControl w:val="0"/>
              <w:kinsoku/>
              <w:wordWrap/>
              <w:overflowPunct/>
              <w:topLinePunct w:val="0"/>
              <w:autoSpaceDE/>
              <w:autoSpaceDN/>
              <w:bidi w:val="0"/>
              <w:adjustRightInd w:val="0"/>
              <w:snapToGrid/>
              <w:spacing w:line="240" w:lineRule="auto"/>
              <w:ind w:left="0" w:right="0"/>
              <w:jc w:val="center"/>
              <w:textAlignment w:val="auto"/>
              <w:rPr>
                <w:rFonts w:hint="eastAsia" w:ascii="Times New Roman" w:hAnsi="Times New Roman" w:eastAsia="黑体" w:cs="Times New Roman"/>
                <w:b w:val="0"/>
                <w:bCs/>
                <w:color w:val="auto"/>
                <w:sz w:val="18"/>
                <w:szCs w:val="18"/>
                <w:highlight w:val="none"/>
                <w:lang w:val="en-US" w:eastAsia="zh-CN"/>
              </w:rPr>
            </w:pPr>
            <w:r>
              <w:rPr>
                <w:rFonts w:hint="eastAsia" w:ascii="Times New Roman" w:hAnsi="Times New Roman" w:eastAsia="黑体" w:cs="Times New Roman"/>
                <w:b w:val="0"/>
                <w:bCs/>
                <w:color w:val="auto"/>
                <w:sz w:val="18"/>
                <w:szCs w:val="18"/>
                <w:highlight w:val="none"/>
                <w:lang w:val="en-US" w:eastAsia="zh-CN"/>
              </w:rPr>
              <w:t>实践</w:t>
            </w:r>
          </w:p>
        </w:tc>
        <w:tc>
          <w:tcPr>
            <w:tcW w:w="295" w:type="pct"/>
            <w:vMerge w:val="continue"/>
            <w:tcBorders>
              <w:tl2br w:val="nil"/>
              <w:tr2bl w:val="nil"/>
            </w:tcBorders>
            <w:shd w:val="clear" w:color="auto" w:fill="auto"/>
            <w:tcMar>
              <w:top w:w="12" w:type="dxa"/>
              <w:left w:w="12" w:type="dxa"/>
              <w:right w:w="12" w:type="dxa"/>
            </w:tcMar>
            <w:vAlign w:val="center"/>
          </w:tcPr>
          <w:p w14:paraId="56E427AB">
            <w:pPr>
              <w:keepNext w:val="0"/>
              <w:keepLines w:val="0"/>
              <w:pageBreakBefore w:val="0"/>
              <w:wordWrap/>
              <w:topLinePunct w:val="0"/>
              <w:bidi w:val="0"/>
              <w:spacing w:line="240" w:lineRule="auto"/>
              <w:ind w:left="0" w:right="0"/>
              <w:jc w:val="center"/>
              <w:rPr>
                <w:rFonts w:ascii="宋体" w:hAnsi="宋体" w:eastAsia="宋体" w:cs="宋体"/>
                <w:color w:val="000000"/>
                <w:sz w:val="18"/>
                <w:szCs w:val="18"/>
                <w:highlight w:val="none"/>
              </w:rPr>
            </w:pPr>
          </w:p>
        </w:tc>
        <w:tc>
          <w:tcPr>
            <w:tcW w:w="327" w:type="pct"/>
            <w:vMerge w:val="continue"/>
            <w:tcBorders>
              <w:tl2br w:val="nil"/>
              <w:tr2bl w:val="nil"/>
            </w:tcBorders>
            <w:shd w:val="clear" w:color="auto" w:fill="auto"/>
            <w:tcMar>
              <w:top w:w="12" w:type="dxa"/>
              <w:left w:w="12" w:type="dxa"/>
              <w:right w:w="12" w:type="dxa"/>
            </w:tcMar>
            <w:vAlign w:val="center"/>
          </w:tcPr>
          <w:p w14:paraId="1F33997F">
            <w:pPr>
              <w:keepNext w:val="0"/>
              <w:keepLines w:val="0"/>
              <w:pageBreakBefore w:val="0"/>
              <w:wordWrap/>
              <w:topLinePunct w:val="0"/>
              <w:bidi w:val="0"/>
              <w:spacing w:line="240" w:lineRule="auto"/>
              <w:ind w:left="0" w:right="0"/>
              <w:jc w:val="center"/>
              <w:rPr>
                <w:rFonts w:ascii="宋体" w:hAnsi="宋体" w:eastAsia="宋体" w:cs="宋体"/>
                <w:color w:val="000000"/>
                <w:sz w:val="18"/>
                <w:szCs w:val="18"/>
                <w:highlight w:val="none"/>
              </w:rPr>
            </w:pPr>
          </w:p>
        </w:tc>
        <w:tc>
          <w:tcPr>
            <w:tcW w:w="811" w:type="pct"/>
            <w:vMerge w:val="continue"/>
            <w:tcBorders>
              <w:tl2br w:val="nil"/>
              <w:tr2bl w:val="nil"/>
            </w:tcBorders>
            <w:shd w:val="clear" w:color="auto" w:fill="auto"/>
            <w:tcMar>
              <w:top w:w="12" w:type="dxa"/>
              <w:left w:w="12" w:type="dxa"/>
              <w:right w:w="12" w:type="dxa"/>
            </w:tcMar>
            <w:vAlign w:val="center"/>
          </w:tcPr>
          <w:p w14:paraId="3816888F">
            <w:pPr>
              <w:keepNext w:val="0"/>
              <w:keepLines w:val="0"/>
              <w:pageBreakBefore w:val="0"/>
              <w:wordWrap/>
              <w:topLinePunct w:val="0"/>
              <w:bidi w:val="0"/>
              <w:spacing w:line="240" w:lineRule="auto"/>
              <w:ind w:left="0" w:right="0"/>
              <w:jc w:val="center"/>
              <w:rPr>
                <w:rFonts w:ascii="宋体" w:hAnsi="宋体" w:eastAsia="宋体" w:cs="宋体"/>
                <w:color w:val="000000"/>
                <w:sz w:val="18"/>
                <w:szCs w:val="18"/>
                <w:highlight w:val="none"/>
              </w:rPr>
            </w:pPr>
          </w:p>
        </w:tc>
      </w:tr>
      <w:tr w14:paraId="766673E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27FF224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通识教育</w:t>
            </w:r>
          </w:p>
        </w:tc>
        <w:tc>
          <w:tcPr>
            <w:tcW w:w="274" w:type="pct"/>
            <w:vMerge w:val="restart"/>
            <w:tcBorders>
              <w:tl2br w:val="nil"/>
              <w:tr2bl w:val="nil"/>
            </w:tcBorders>
            <w:shd w:val="clear" w:color="auto" w:fill="auto"/>
            <w:tcMar>
              <w:top w:w="12" w:type="dxa"/>
              <w:left w:w="12" w:type="dxa"/>
              <w:right w:w="12" w:type="dxa"/>
            </w:tcMar>
            <w:vAlign w:val="center"/>
          </w:tcPr>
          <w:p w14:paraId="60E1747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通识</w:t>
            </w:r>
          </w:p>
          <w:p w14:paraId="2CE8E9D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4FD00E2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0A3FAF6E">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sz w:val="17"/>
                <w:szCs w:val="17"/>
                <w:highlight w:val="none"/>
              </w:rPr>
              <w:t>3321271002</w:t>
            </w:r>
          </w:p>
        </w:tc>
        <w:tc>
          <w:tcPr>
            <w:tcW w:w="1250" w:type="pct"/>
            <w:tcBorders>
              <w:tl2br w:val="nil"/>
              <w:tr2bl w:val="nil"/>
            </w:tcBorders>
            <w:shd w:val="clear" w:color="auto" w:fill="auto"/>
            <w:tcMar>
              <w:top w:w="12" w:type="dxa"/>
              <w:left w:w="12" w:type="dxa"/>
              <w:right w:w="12" w:type="dxa"/>
            </w:tcMar>
            <w:vAlign w:val="center"/>
          </w:tcPr>
          <w:p w14:paraId="4F84D5EA">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思想道德与法治</w:t>
            </w:r>
          </w:p>
          <w:p w14:paraId="4B464433">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Ideology and Morality and Rule of Law</w:t>
            </w:r>
          </w:p>
        </w:tc>
        <w:tc>
          <w:tcPr>
            <w:tcW w:w="306" w:type="pct"/>
            <w:tcBorders>
              <w:tl2br w:val="nil"/>
              <w:tr2bl w:val="nil"/>
            </w:tcBorders>
            <w:shd w:val="clear" w:color="auto" w:fill="auto"/>
            <w:tcMar>
              <w:top w:w="12" w:type="dxa"/>
              <w:left w:w="12" w:type="dxa"/>
              <w:right w:w="12" w:type="dxa"/>
            </w:tcMar>
            <w:vAlign w:val="center"/>
          </w:tcPr>
          <w:p w14:paraId="3CC0633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w:t>
            </w:r>
          </w:p>
        </w:tc>
        <w:tc>
          <w:tcPr>
            <w:tcW w:w="248" w:type="pct"/>
            <w:tcBorders>
              <w:tl2br w:val="nil"/>
              <w:tr2bl w:val="nil"/>
            </w:tcBorders>
            <w:shd w:val="clear" w:color="auto" w:fill="auto"/>
            <w:tcMar>
              <w:top w:w="12" w:type="dxa"/>
              <w:left w:w="12" w:type="dxa"/>
              <w:right w:w="12" w:type="dxa"/>
            </w:tcMar>
            <w:vAlign w:val="center"/>
          </w:tcPr>
          <w:p w14:paraId="382EA261">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highlight w:val="none"/>
                <w14:textFill>
                  <w14:solidFill>
                    <w14:schemeClr w14:val="tx1"/>
                  </w14:solidFill>
                </w14:textFill>
              </w:rPr>
              <w:t>48</w:t>
            </w:r>
          </w:p>
        </w:tc>
        <w:tc>
          <w:tcPr>
            <w:tcW w:w="285" w:type="pct"/>
            <w:tcBorders>
              <w:tl2br w:val="nil"/>
              <w:tr2bl w:val="nil"/>
            </w:tcBorders>
            <w:shd w:val="clear" w:color="auto" w:fill="auto"/>
            <w:tcMar>
              <w:top w:w="12" w:type="dxa"/>
              <w:left w:w="12" w:type="dxa"/>
              <w:right w:w="12" w:type="dxa"/>
            </w:tcMar>
            <w:vAlign w:val="center"/>
          </w:tcPr>
          <w:p w14:paraId="27759D1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highlight w:val="none"/>
                <w14:textFill>
                  <w14:solidFill>
                    <w14:schemeClr w14:val="tx1"/>
                  </w14:solidFill>
                </w14:textFill>
              </w:rPr>
              <w:t>40</w:t>
            </w:r>
          </w:p>
        </w:tc>
        <w:tc>
          <w:tcPr>
            <w:tcW w:w="301" w:type="pct"/>
            <w:tcBorders>
              <w:tl2br w:val="nil"/>
              <w:tr2bl w:val="nil"/>
            </w:tcBorders>
            <w:shd w:val="clear" w:color="auto" w:fill="auto"/>
            <w:tcMar>
              <w:top w:w="12" w:type="dxa"/>
              <w:left w:w="12" w:type="dxa"/>
              <w:right w:w="12" w:type="dxa"/>
            </w:tcMar>
            <w:vAlign w:val="center"/>
          </w:tcPr>
          <w:p w14:paraId="374C754B">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8</w:t>
            </w:r>
          </w:p>
        </w:tc>
        <w:tc>
          <w:tcPr>
            <w:tcW w:w="295" w:type="pct"/>
            <w:tcBorders>
              <w:tl2br w:val="nil"/>
              <w:tr2bl w:val="nil"/>
            </w:tcBorders>
            <w:shd w:val="clear" w:color="auto" w:fill="auto"/>
            <w:tcMar>
              <w:top w:w="12" w:type="dxa"/>
              <w:left w:w="12" w:type="dxa"/>
              <w:right w:w="12" w:type="dxa"/>
            </w:tcMar>
            <w:vAlign w:val="center"/>
          </w:tcPr>
          <w:p w14:paraId="06F9277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3B3CC37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27F2C20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60AAA1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7E0B9C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46E131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AABC9C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3321271001</w:t>
            </w:r>
          </w:p>
        </w:tc>
        <w:tc>
          <w:tcPr>
            <w:tcW w:w="1250" w:type="pct"/>
            <w:tcBorders>
              <w:tl2br w:val="nil"/>
              <w:tr2bl w:val="nil"/>
            </w:tcBorders>
            <w:shd w:val="clear" w:color="auto" w:fill="auto"/>
            <w:tcMar>
              <w:top w:w="12" w:type="dxa"/>
              <w:left w:w="12" w:type="dxa"/>
              <w:right w:w="12" w:type="dxa"/>
            </w:tcMar>
            <w:vAlign w:val="center"/>
          </w:tcPr>
          <w:p w14:paraId="4572280D">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毛泽东思想和中国特色社会主义理论体系概论</w:t>
            </w:r>
          </w:p>
          <w:p w14:paraId="6A47688E">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to Mao</w:t>
            </w:r>
            <w:r>
              <w:rPr>
                <w:rFonts w:hint="default" w:ascii="Times New Roman" w:hAnsi="Times New Roman" w:eastAsia="宋体" w:cs="Times New Roman"/>
                <w:bCs/>
                <w:kern w:val="0"/>
                <w:sz w:val="17"/>
                <w:szCs w:val="17"/>
                <w:lang w:val="en-US" w:eastAsia="zh-CN" w:bidi="ar"/>
              </w:rPr>
              <w:t>’</w:t>
            </w:r>
            <w:r>
              <w:rPr>
                <w:rFonts w:hint="default" w:ascii="Times New Roman" w:hAnsi="Times New Roman" w:eastAsia="宋体" w:cs="Times New Roman"/>
                <w:bCs/>
                <w:kern w:val="0"/>
                <w:sz w:val="17"/>
                <w:szCs w:val="17"/>
                <w:lang w:bidi="ar"/>
              </w:rPr>
              <w:t>s Thoughts and Theoretical System of the Chinese Characteristics Socialism</w:t>
            </w:r>
          </w:p>
        </w:tc>
        <w:tc>
          <w:tcPr>
            <w:tcW w:w="306" w:type="pct"/>
            <w:tcBorders>
              <w:tl2br w:val="nil"/>
              <w:tr2bl w:val="nil"/>
            </w:tcBorders>
            <w:shd w:val="clear" w:color="auto" w:fill="auto"/>
            <w:tcMar>
              <w:top w:w="12" w:type="dxa"/>
              <w:left w:w="12" w:type="dxa"/>
              <w:right w:w="12" w:type="dxa"/>
            </w:tcMar>
            <w:vAlign w:val="center"/>
          </w:tcPr>
          <w:p w14:paraId="1056DE9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6E42756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48</w:t>
            </w:r>
          </w:p>
        </w:tc>
        <w:tc>
          <w:tcPr>
            <w:tcW w:w="285" w:type="pct"/>
            <w:tcBorders>
              <w:tl2br w:val="nil"/>
              <w:tr2bl w:val="nil"/>
            </w:tcBorders>
            <w:shd w:val="clear" w:color="auto" w:fill="auto"/>
            <w:tcMar>
              <w:top w:w="12" w:type="dxa"/>
              <w:left w:w="12" w:type="dxa"/>
              <w:right w:w="12" w:type="dxa"/>
            </w:tcMar>
            <w:vAlign w:val="center"/>
          </w:tcPr>
          <w:p w14:paraId="6576D18B">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highlight w:val="none"/>
                <w14:textFill>
                  <w14:solidFill>
                    <w14:schemeClr w14:val="tx1"/>
                  </w14:solidFill>
                </w14:textFill>
              </w:rPr>
              <w:t>4</w:t>
            </w:r>
            <w:r>
              <w:rPr>
                <w:rFonts w:ascii="Times New Roman" w:hAnsi="Times New Roman" w:cs="宋体"/>
                <w:bCs/>
                <w:color w:val="000000" w:themeColor="text1"/>
                <w:kern w:val="0"/>
                <w:sz w:val="17"/>
                <w:szCs w:val="17"/>
                <w:highlight w:val="none"/>
                <w14:textFill>
                  <w14:solidFill>
                    <w14:schemeClr w14:val="tx1"/>
                  </w14:solidFill>
                </w14:textFill>
              </w:rPr>
              <w:t>0</w:t>
            </w:r>
          </w:p>
        </w:tc>
        <w:tc>
          <w:tcPr>
            <w:tcW w:w="301" w:type="pct"/>
            <w:tcBorders>
              <w:tl2br w:val="nil"/>
              <w:tr2bl w:val="nil"/>
            </w:tcBorders>
            <w:shd w:val="clear" w:color="auto" w:fill="auto"/>
            <w:tcMar>
              <w:top w:w="12" w:type="dxa"/>
              <w:left w:w="12" w:type="dxa"/>
              <w:right w:w="12" w:type="dxa"/>
            </w:tcMar>
            <w:vAlign w:val="center"/>
          </w:tcPr>
          <w:p w14:paraId="172F065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8</w:t>
            </w:r>
          </w:p>
        </w:tc>
        <w:tc>
          <w:tcPr>
            <w:tcW w:w="295" w:type="pct"/>
            <w:tcBorders>
              <w:tl2br w:val="nil"/>
              <w:tr2bl w:val="nil"/>
            </w:tcBorders>
            <w:shd w:val="clear" w:color="auto" w:fill="auto"/>
            <w:tcMar>
              <w:top w:w="12" w:type="dxa"/>
              <w:left w:w="12" w:type="dxa"/>
              <w:right w:w="12" w:type="dxa"/>
            </w:tcMar>
            <w:vAlign w:val="center"/>
          </w:tcPr>
          <w:p w14:paraId="7C5DB4B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4E4BCD0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3E2CD6F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24E20EB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0E9C53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78A7B8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7567AEB">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3321271003</w:t>
            </w:r>
          </w:p>
        </w:tc>
        <w:tc>
          <w:tcPr>
            <w:tcW w:w="1250" w:type="pct"/>
            <w:tcBorders>
              <w:tl2br w:val="nil"/>
              <w:tr2bl w:val="nil"/>
            </w:tcBorders>
            <w:shd w:val="clear" w:color="auto" w:fill="auto"/>
            <w:tcMar>
              <w:top w:w="12" w:type="dxa"/>
              <w:left w:w="12" w:type="dxa"/>
              <w:right w:w="12" w:type="dxa"/>
            </w:tcMar>
            <w:vAlign w:val="center"/>
          </w:tcPr>
          <w:p w14:paraId="7141018D">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习近平新时代中国特色社会主义思想概论</w:t>
            </w:r>
          </w:p>
          <w:p w14:paraId="294CF2A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Introduction of the Xi Jinping Thought on Socialism with Chinese Characteristic for a New Era</w:t>
            </w:r>
          </w:p>
        </w:tc>
        <w:tc>
          <w:tcPr>
            <w:tcW w:w="306" w:type="pct"/>
            <w:tcBorders>
              <w:tl2br w:val="nil"/>
              <w:tr2bl w:val="nil"/>
            </w:tcBorders>
            <w:shd w:val="clear" w:color="auto" w:fill="auto"/>
            <w:tcMar>
              <w:top w:w="12" w:type="dxa"/>
              <w:left w:w="12" w:type="dxa"/>
              <w:right w:w="12" w:type="dxa"/>
            </w:tcMar>
            <w:vAlign w:val="center"/>
          </w:tcPr>
          <w:p w14:paraId="1E026E0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w:t>
            </w:r>
          </w:p>
        </w:tc>
        <w:tc>
          <w:tcPr>
            <w:tcW w:w="248" w:type="pct"/>
            <w:tcBorders>
              <w:tl2br w:val="nil"/>
              <w:tr2bl w:val="nil"/>
            </w:tcBorders>
            <w:shd w:val="clear" w:color="auto" w:fill="auto"/>
            <w:tcMar>
              <w:top w:w="12" w:type="dxa"/>
              <w:left w:w="12" w:type="dxa"/>
              <w:right w:w="12" w:type="dxa"/>
            </w:tcMar>
            <w:vAlign w:val="center"/>
          </w:tcPr>
          <w:p w14:paraId="4D7DB23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48</w:t>
            </w:r>
          </w:p>
        </w:tc>
        <w:tc>
          <w:tcPr>
            <w:tcW w:w="285" w:type="pct"/>
            <w:tcBorders>
              <w:tl2br w:val="nil"/>
              <w:tr2bl w:val="nil"/>
            </w:tcBorders>
            <w:shd w:val="clear" w:color="auto" w:fill="auto"/>
            <w:tcMar>
              <w:top w:w="12" w:type="dxa"/>
              <w:left w:w="12" w:type="dxa"/>
              <w:right w:w="12" w:type="dxa"/>
            </w:tcMar>
            <w:vAlign w:val="center"/>
          </w:tcPr>
          <w:p w14:paraId="52326CF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color w:val="000000" w:themeColor="text1"/>
                <w:kern w:val="0"/>
                <w:sz w:val="17"/>
                <w:szCs w:val="17"/>
                <w:highlight w:val="none"/>
                <w14:textFill>
                  <w14:solidFill>
                    <w14:schemeClr w14:val="tx1"/>
                  </w14:solidFill>
                </w14:textFill>
              </w:rPr>
              <w:t>4</w:t>
            </w:r>
            <w:r>
              <w:rPr>
                <w:rFonts w:ascii="Times New Roman" w:hAnsi="Times New Roman" w:cs="宋体"/>
                <w:bCs/>
                <w:color w:val="000000" w:themeColor="text1"/>
                <w:kern w:val="0"/>
                <w:sz w:val="17"/>
                <w:szCs w:val="17"/>
                <w:highlight w:val="none"/>
                <w14:textFill>
                  <w14:solidFill>
                    <w14:schemeClr w14:val="tx1"/>
                  </w14:solidFill>
                </w14:textFill>
              </w:rPr>
              <w:t>0</w:t>
            </w:r>
          </w:p>
        </w:tc>
        <w:tc>
          <w:tcPr>
            <w:tcW w:w="301" w:type="pct"/>
            <w:tcBorders>
              <w:tl2br w:val="nil"/>
              <w:tr2bl w:val="nil"/>
            </w:tcBorders>
            <w:shd w:val="clear" w:color="auto" w:fill="auto"/>
            <w:tcMar>
              <w:top w:w="12" w:type="dxa"/>
              <w:left w:w="12" w:type="dxa"/>
              <w:right w:w="12" w:type="dxa"/>
            </w:tcMar>
            <w:vAlign w:val="center"/>
          </w:tcPr>
          <w:p w14:paraId="08DA8DC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8</w:t>
            </w:r>
          </w:p>
        </w:tc>
        <w:tc>
          <w:tcPr>
            <w:tcW w:w="295" w:type="pct"/>
            <w:tcBorders>
              <w:tl2br w:val="nil"/>
              <w:tr2bl w:val="nil"/>
            </w:tcBorders>
            <w:shd w:val="clear" w:color="auto" w:fill="auto"/>
            <w:tcMar>
              <w:top w:w="12" w:type="dxa"/>
              <w:left w:w="12" w:type="dxa"/>
              <w:right w:w="12" w:type="dxa"/>
            </w:tcMar>
            <w:vAlign w:val="center"/>
          </w:tcPr>
          <w:p w14:paraId="49CF184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3FC7991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0486208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26C8A2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B8FF0D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AF2B86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7BB0F41">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3321171001</w:t>
            </w:r>
          </w:p>
        </w:tc>
        <w:tc>
          <w:tcPr>
            <w:tcW w:w="1250" w:type="pct"/>
            <w:tcBorders>
              <w:tl2br w:val="nil"/>
              <w:tr2bl w:val="nil"/>
            </w:tcBorders>
            <w:shd w:val="clear" w:color="auto" w:fill="auto"/>
            <w:tcMar>
              <w:top w:w="12" w:type="dxa"/>
              <w:left w:w="12" w:type="dxa"/>
              <w:right w:w="12" w:type="dxa"/>
            </w:tcMar>
            <w:vAlign w:val="center"/>
          </w:tcPr>
          <w:p w14:paraId="65D0DB4E">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形势与政策</w:t>
            </w:r>
          </w:p>
          <w:p w14:paraId="7FB3FBD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Policy and Political Situation Analysis</w:t>
            </w:r>
          </w:p>
        </w:tc>
        <w:tc>
          <w:tcPr>
            <w:tcW w:w="306" w:type="pct"/>
            <w:tcBorders>
              <w:tl2br w:val="nil"/>
              <w:tr2bl w:val="nil"/>
            </w:tcBorders>
            <w:shd w:val="clear" w:color="auto" w:fill="auto"/>
            <w:tcMar>
              <w:top w:w="12" w:type="dxa"/>
              <w:left w:w="12" w:type="dxa"/>
              <w:right w:w="12" w:type="dxa"/>
            </w:tcMar>
            <w:vAlign w:val="center"/>
          </w:tcPr>
          <w:p w14:paraId="4AD6D53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1</w:t>
            </w:r>
          </w:p>
        </w:tc>
        <w:tc>
          <w:tcPr>
            <w:tcW w:w="248" w:type="pct"/>
            <w:tcBorders>
              <w:tl2br w:val="nil"/>
              <w:tr2bl w:val="nil"/>
            </w:tcBorders>
            <w:shd w:val="clear" w:color="auto" w:fill="auto"/>
            <w:tcMar>
              <w:top w:w="12" w:type="dxa"/>
              <w:left w:w="12" w:type="dxa"/>
              <w:right w:w="12" w:type="dxa"/>
            </w:tcMar>
            <w:vAlign w:val="center"/>
          </w:tcPr>
          <w:p w14:paraId="597B01BA">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48</w:t>
            </w:r>
          </w:p>
        </w:tc>
        <w:tc>
          <w:tcPr>
            <w:tcW w:w="285" w:type="pct"/>
            <w:tcBorders>
              <w:tl2br w:val="nil"/>
              <w:tr2bl w:val="nil"/>
            </w:tcBorders>
            <w:shd w:val="clear" w:color="auto" w:fill="auto"/>
            <w:tcMar>
              <w:top w:w="12" w:type="dxa"/>
              <w:left w:w="12" w:type="dxa"/>
              <w:right w:w="12" w:type="dxa"/>
            </w:tcMar>
            <w:vAlign w:val="center"/>
          </w:tcPr>
          <w:p w14:paraId="0C735CD8">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themeColor="text1"/>
                <w:kern w:val="0"/>
                <w:sz w:val="17"/>
                <w:szCs w:val="17"/>
                <w:highlight w:val="none"/>
                <w14:textFill>
                  <w14:solidFill>
                    <w14:schemeClr w14:val="tx1"/>
                  </w14:solidFill>
                </w14:textFill>
              </w:rPr>
              <w:t>48</w:t>
            </w:r>
          </w:p>
        </w:tc>
        <w:tc>
          <w:tcPr>
            <w:tcW w:w="301" w:type="pct"/>
            <w:tcBorders>
              <w:tl2br w:val="nil"/>
              <w:tr2bl w:val="nil"/>
            </w:tcBorders>
            <w:shd w:val="clear" w:color="auto" w:fill="auto"/>
            <w:tcMar>
              <w:top w:w="12" w:type="dxa"/>
              <w:left w:w="12" w:type="dxa"/>
              <w:right w:w="12" w:type="dxa"/>
            </w:tcMar>
            <w:vAlign w:val="center"/>
          </w:tcPr>
          <w:p w14:paraId="16C1649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41F2EAE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784829E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811" w:type="pct"/>
            <w:tcBorders>
              <w:tl2br w:val="nil"/>
              <w:tr2bl w:val="nil"/>
            </w:tcBorders>
            <w:shd w:val="clear" w:color="auto" w:fill="auto"/>
            <w:tcMar>
              <w:top w:w="12" w:type="dxa"/>
              <w:left w:w="12" w:type="dxa"/>
              <w:right w:w="12" w:type="dxa"/>
            </w:tcMar>
            <w:vAlign w:val="center"/>
          </w:tcPr>
          <w:p w14:paraId="2C2941E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45F25F1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1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8D04BA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E8F93C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314522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5321283001</w:t>
            </w:r>
          </w:p>
        </w:tc>
        <w:tc>
          <w:tcPr>
            <w:tcW w:w="1250" w:type="pct"/>
            <w:tcBorders>
              <w:tl2br w:val="nil"/>
              <w:tr2bl w:val="nil"/>
            </w:tcBorders>
            <w:shd w:val="clear" w:color="auto" w:fill="auto"/>
            <w:tcMar>
              <w:top w:w="12" w:type="dxa"/>
              <w:left w:w="12" w:type="dxa"/>
              <w:right w:w="12" w:type="dxa"/>
            </w:tcMar>
            <w:vAlign w:val="center"/>
          </w:tcPr>
          <w:p w14:paraId="2D6EF5E6">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军事技能</w:t>
            </w:r>
          </w:p>
          <w:p w14:paraId="5AC464E6">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Training</w:t>
            </w:r>
          </w:p>
        </w:tc>
        <w:tc>
          <w:tcPr>
            <w:tcW w:w="306" w:type="pct"/>
            <w:tcBorders>
              <w:tl2br w:val="nil"/>
              <w:tr2bl w:val="nil"/>
            </w:tcBorders>
            <w:shd w:val="clear" w:color="auto" w:fill="auto"/>
            <w:tcMar>
              <w:top w:w="12" w:type="dxa"/>
              <w:left w:w="12" w:type="dxa"/>
              <w:right w:w="12" w:type="dxa"/>
            </w:tcMar>
            <w:vAlign w:val="center"/>
          </w:tcPr>
          <w:p w14:paraId="6D1A131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bidi="ar"/>
              </w:rPr>
              <w:t>3</w:t>
            </w:r>
          </w:p>
        </w:tc>
        <w:tc>
          <w:tcPr>
            <w:tcW w:w="248" w:type="pct"/>
            <w:tcBorders>
              <w:tl2br w:val="nil"/>
              <w:tr2bl w:val="nil"/>
            </w:tcBorders>
            <w:shd w:val="clear" w:color="auto" w:fill="auto"/>
            <w:tcMar>
              <w:top w:w="12" w:type="dxa"/>
              <w:left w:w="12" w:type="dxa"/>
              <w:right w:w="12" w:type="dxa"/>
            </w:tcMar>
            <w:vAlign w:val="center"/>
          </w:tcPr>
          <w:p w14:paraId="0CA6162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90</w:t>
            </w:r>
          </w:p>
        </w:tc>
        <w:tc>
          <w:tcPr>
            <w:tcW w:w="285" w:type="pct"/>
            <w:tcBorders>
              <w:tl2br w:val="nil"/>
              <w:tr2bl w:val="nil"/>
            </w:tcBorders>
            <w:shd w:val="clear" w:color="auto" w:fill="auto"/>
            <w:tcMar>
              <w:top w:w="12" w:type="dxa"/>
              <w:left w:w="12" w:type="dxa"/>
              <w:right w:w="12" w:type="dxa"/>
            </w:tcMar>
            <w:vAlign w:val="center"/>
          </w:tcPr>
          <w:p w14:paraId="140EB2A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noWrap/>
            <w:tcMar>
              <w:top w:w="12" w:type="dxa"/>
              <w:left w:w="12" w:type="dxa"/>
              <w:right w:w="12" w:type="dxa"/>
            </w:tcMar>
            <w:vAlign w:val="center"/>
          </w:tcPr>
          <w:p w14:paraId="0438197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lang w:val="en-US" w:eastAsia="zh-CN"/>
              </w:rPr>
              <w:t>90</w:t>
            </w:r>
          </w:p>
        </w:tc>
        <w:tc>
          <w:tcPr>
            <w:tcW w:w="295" w:type="pct"/>
            <w:tcBorders>
              <w:tl2br w:val="nil"/>
              <w:tr2bl w:val="nil"/>
            </w:tcBorders>
            <w:shd w:val="clear" w:color="auto" w:fill="auto"/>
            <w:tcMar>
              <w:top w:w="12" w:type="dxa"/>
              <w:left w:w="12" w:type="dxa"/>
              <w:right w:w="12" w:type="dxa"/>
            </w:tcMar>
            <w:vAlign w:val="center"/>
          </w:tcPr>
          <w:p w14:paraId="08DCEBB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1026739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0BD1218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eastAsia="zh-CN"/>
                <w:woUserID w:val="1"/>
              </w:rPr>
            </w:pPr>
          </w:p>
        </w:tc>
      </w:tr>
      <w:tr w14:paraId="42120A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0BEADD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390719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C42151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3221183001</w:t>
            </w:r>
          </w:p>
        </w:tc>
        <w:tc>
          <w:tcPr>
            <w:tcW w:w="1250" w:type="pct"/>
            <w:tcBorders>
              <w:tl2br w:val="nil"/>
              <w:tr2bl w:val="nil"/>
            </w:tcBorders>
            <w:shd w:val="clear" w:color="auto" w:fill="auto"/>
            <w:tcMar>
              <w:top w:w="12" w:type="dxa"/>
              <w:left w:w="12" w:type="dxa"/>
              <w:right w:w="12" w:type="dxa"/>
            </w:tcMar>
            <w:vAlign w:val="center"/>
          </w:tcPr>
          <w:p w14:paraId="07B3CDEA">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军事理论</w:t>
            </w:r>
          </w:p>
          <w:p w14:paraId="692E98F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Military Course</w:t>
            </w:r>
          </w:p>
        </w:tc>
        <w:tc>
          <w:tcPr>
            <w:tcW w:w="306" w:type="pct"/>
            <w:tcBorders>
              <w:tl2br w:val="nil"/>
              <w:tr2bl w:val="nil"/>
            </w:tcBorders>
            <w:shd w:val="clear" w:color="auto" w:fill="auto"/>
            <w:tcMar>
              <w:top w:w="12" w:type="dxa"/>
              <w:left w:w="12" w:type="dxa"/>
              <w:right w:w="12" w:type="dxa"/>
            </w:tcMar>
            <w:vAlign w:val="center"/>
          </w:tcPr>
          <w:p w14:paraId="1B111B16">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2</w:t>
            </w:r>
          </w:p>
        </w:tc>
        <w:tc>
          <w:tcPr>
            <w:tcW w:w="248" w:type="pct"/>
            <w:tcBorders>
              <w:tl2br w:val="nil"/>
              <w:tr2bl w:val="nil"/>
            </w:tcBorders>
            <w:shd w:val="clear" w:color="auto" w:fill="auto"/>
            <w:tcMar>
              <w:top w:w="12" w:type="dxa"/>
              <w:left w:w="12" w:type="dxa"/>
              <w:right w:w="12" w:type="dxa"/>
            </w:tcMar>
            <w:vAlign w:val="center"/>
          </w:tcPr>
          <w:p w14:paraId="35BD90D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36</w:t>
            </w:r>
          </w:p>
        </w:tc>
        <w:tc>
          <w:tcPr>
            <w:tcW w:w="285" w:type="pct"/>
            <w:tcBorders>
              <w:tl2br w:val="nil"/>
              <w:tr2bl w:val="nil"/>
            </w:tcBorders>
            <w:shd w:val="clear" w:color="auto" w:fill="auto"/>
            <w:tcMar>
              <w:top w:w="12" w:type="dxa"/>
              <w:left w:w="12" w:type="dxa"/>
              <w:right w:w="12" w:type="dxa"/>
            </w:tcMar>
            <w:vAlign w:val="center"/>
          </w:tcPr>
          <w:p w14:paraId="49D436C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36</w:t>
            </w:r>
          </w:p>
        </w:tc>
        <w:tc>
          <w:tcPr>
            <w:tcW w:w="301" w:type="pct"/>
            <w:tcBorders>
              <w:tl2br w:val="nil"/>
              <w:tr2bl w:val="nil"/>
            </w:tcBorders>
            <w:shd w:val="clear" w:color="auto" w:fill="auto"/>
            <w:tcMar>
              <w:top w:w="12" w:type="dxa"/>
              <w:left w:w="12" w:type="dxa"/>
              <w:right w:w="12" w:type="dxa"/>
            </w:tcMar>
            <w:vAlign w:val="center"/>
          </w:tcPr>
          <w:p w14:paraId="459A533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58BDD48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08C107D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508DF39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78F47B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2EBB33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8D18AF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3FA1BE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3221174001</w:t>
            </w:r>
          </w:p>
        </w:tc>
        <w:tc>
          <w:tcPr>
            <w:tcW w:w="1250" w:type="pct"/>
            <w:tcBorders>
              <w:tl2br w:val="nil"/>
              <w:tr2bl w:val="nil"/>
            </w:tcBorders>
            <w:shd w:val="clear" w:color="auto" w:fill="auto"/>
            <w:tcMar>
              <w:top w:w="12" w:type="dxa"/>
              <w:left w:w="12" w:type="dxa"/>
              <w:right w:w="12" w:type="dxa"/>
            </w:tcMar>
            <w:vAlign w:val="center"/>
          </w:tcPr>
          <w:p w14:paraId="0EC0956A">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大学英语（一）</w:t>
            </w:r>
          </w:p>
          <w:p w14:paraId="51B6BD5F">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w:t>
            </w:r>
            <w:r>
              <w:rPr>
                <w:rFonts w:hint="eastAsia" w:ascii="Times New Roman" w:hAnsi="Times New Roman" w:eastAsia="宋体" w:cs="Times New Roman"/>
                <w:bCs/>
                <w:kern w:val="0"/>
                <w:sz w:val="17"/>
                <w:szCs w:val="17"/>
                <w:lang w:val="en-US" w:eastAsia="zh-CN" w:bidi="ar"/>
              </w:rPr>
              <w:t>(I)</w:t>
            </w:r>
          </w:p>
        </w:tc>
        <w:tc>
          <w:tcPr>
            <w:tcW w:w="306" w:type="pct"/>
            <w:tcBorders>
              <w:tl2br w:val="nil"/>
              <w:tr2bl w:val="nil"/>
            </w:tcBorders>
            <w:shd w:val="clear" w:color="auto" w:fill="auto"/>
            <w:tcMar>
              <w:top w:w="12" w:type="dxa"/>
              <w:left w:w="12" w:type="dxa"/>
              <w:right w:w="12" w:type="dxa"/>
            </w:tcMar>
            <w:vAlign w:val="center"/>
          </w:tcPr>
          <w:p w14:paraId="4FB06E8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4</w:t>
            </w:r>
          </w:p>
        </w:tc>
        <w:tc>
          <w:tcPr>
            <w:tcW w:w="248" w:type="pct"/>
            <w:tcBorders>
              <w:tl2br w:val="nil"/>
              <w:tr2bl w:val="nil"/>
            </w:tcBorders>
            <w:shd w:val="clear" w:color="auto" w:fill="auto"/>
            <w:tcMar>
              <w:top w:w="12" w:type="dxa"/>
              <w:left w:w="12" w:type="dxa"/>
              <w:right w:w="12" w:type="dxa"/>
            </w:tcMar>
            <w:vAlign w:val="center"/>
          </w:tcPr>
          <w:p w14:paraId="7206804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64</w:t>
            </w:r>
          </w:p>
        </w:tc>
        <w:tc>
          <w:tcPr>
            <w:tcW w:w="285" w:type="pct"/>
            <w:tcBorders>
              <w:tl2br w:val="nil"/>
              <w:tr2bl w:val="nil"/>
            </w:tcBorders>
            <w:shd w:val="clear" w:color="auto" w:fill="auto"/>
            <w:tcMar>
              <w:top w:w="12" w:type="dxa"/>
              <w:left w:w="12" w:type="dxa"/>
              <w:right w:w="12" w:type="dxa"/>
            </w:tcMar>
            <w:vAlign w:val="center"/>
          </w:tcPr>
          <w:p w14:paraId="2CBD9BC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64</w:t>
            </w:r>
          </w:p>
        </w:tc>
        <w:tc>
          <w:tcPr>
            <w:tcW w:w="301" w:type="pct"/>
            <w:tcBorders>
              <w:tl2br w:val="nil"/>
              <w:tr2bl w:val="nil"/>
            </w:tcBorders>
            <w:shd w:val="clear" w:color="auto" w:fill="auto"/>
            <w:tcMar>
              <w:top w:w="12" w:type="dxa"/>
              <w:left w:w="12" w:type="dxa"/>
              <w:right w:w="12" w:type="dxa"/>
            </w:tcMar>
            <w:vAlign w:val="center"/>
          </w:tcPr>
          <w:p w14:paraId="7748FE3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0FF7BBF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03F38E7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7C2D51E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117C98D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930222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3D9CB8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094C4C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3221174002</w:t>
            </w:r>
          </w:p>
        </w:tc>
        <w:tc>
          <w:tcPr>
            <w:tcW w:w="1250" w:type="pct"/>
            <w:tcBorders>
              <w:tl2br w:val="nil"/>
              <w:tr2bl w:val="nil"/>
            </w:tcBorders>
            <w:shd w:val="clear" w:color="auto" w:fill="auto"/>
            <w:tcMar>
              <w:top w:w="12" w:type="dxa"/>
              <w:left w:w="12" w:type="dxa"/>
              <w:right w:w="12" w:type="dxa"/>
            </w:tcMar>
            <w:vAlign w:val="center"/>
          </w:tcPr>
          <w:p w14:paraId="7FA5585C">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大学英语（二）</w:t>
            </w:r>
          </w:p>
          <w:p w14:paraId="3050EAF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English(II)</w:t>
            </w:r>
          </w:p>
        </w:tc>
        <w:tc>
          <w:tcPr>
            <w:tcW w:w="306" w:type="pct"/>
            <w:tcBorders>
              <w:tl2br w:val="nil"/>
              <w:tr2bl w:val="nil"/>
            </w:tcBorders>
            <w:shd w:val="clear" w:color="auto" w:fill="auto"/>
            <w:tcMar>
              <w:top w:w="12" w:type="dxa"/>
              <w:left w:w="12" w:type="dxa"/>
              <w:right w:w="12" w:type="dxa"/>
            </w:tcMar>
            <w:vAlign w:val="center"/>
          </w:tcPr>
          <w:p w14:paraId="2DCEF45E">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4</w:t>
            </w:r>
          </w:p>
        </w:tc>
        <w:tc>
          <w:tcPr>
            <w:tcW w:w="248" w:type="pct"/>
            <w:tcBorders>
              <w:tl2br w:val="nil"/>
              <w:tr2bl w:val="nil"/>
            </w:tcBorders>
            <w:shd w:val="clear" w:color="auto" w:fill="auto"/>
            <w:tcMar>
              <w:top w:w="12" w:type="dxa"/>
              <w:left w:w="12" w:type="dxa"/>
              <w:right w:w="12" w:type="dxa"/>
            </w:tcMar>
            <w:vAlign w:val="center"/>
          </w:tcPr>
          <w:p w14:paraId="39D29176">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64</w:t>
            </w:r>
          </w:p>
        </w:tc>
        <w:tc>
          <w:tcPr>
            <w:tcW w:w="285" w:type="pct"/>
            <w:tcBorders>
              <w:tl2br w:val="nil"/>
              <w:tr2bl w:val="nil"/>
            </w:tcBorders>
            <w:shd w:val="clear" w:color="auto" w:fill="auto"/>
            <w:tcMar>
              <w:top w:w="12" w:type="dxa"/>
              <w:left w:w="12" w:type="dxa"/>
              <w:right w:w="12" w:type="dxa"/>
            </w:tcMar>
            <w:vAlign w:val="center"/>
          </w:tcPr>
          <w:p w14:paraId="1107FEF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64</w:t>
            </w:r>
          </w:p>
        </w:tc>
        <w:tc>
          <w:tcPr>
            <w:tcW w:w="301" w:type="pct"/>
            <w:tcBorders>
              <w:tl2br w:val="nil"/>
              <w:tr2bl w:val="nil"/>
            </w:tcBorders>
            <w:shd w:val="clear" w:color="auto" w:fill="auto"/>
            <w:tcMar>
              <w:top w:w="12" w:type="dxa"/>
              <w:left w:w="12" w:type="dxa"/>
              <w:right w:w="12" w:type="dxa"/>
            </w:tcMar>
            <w:vAlign w:val="center"/>
          </w:tcPr>
          <w:p w14:paraId="6DB086C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5BCB451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277AC82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1E6AF54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78C156E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4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B31C18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7D70E3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87E52C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3221175001</w:t>
            </w:r>
          </w:p>
        </w:tc>
        <w:tc>
          <w:tcPr>
            <w:tcW w:w="1250" w:type="pct"/>
            <w:tcBorders>
              <w:tl2br w:val="nil"/>
              <w:tr2bl w:val="nil"/>
            </w:tcBorders>
            <w:shd w:val="clear" w:color="auto" w:fill="auto"/>
            <w:tcMar>
              <w:top w:w="12" w:type="dxa"/>
              <w:left w:w="12" w:type="dxa"/>
              <w:right w:w="12" w:type="dxa"/>
            </w:tcMar>
            <w:vAlign w:val="center"/>
          </w:tcPr>
          <w:p w14:paraId="24DA7EAE">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大学语文</w:t>
            </w:r>
          </w:p>
          <w:p w14:paraId="24585F3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College Chinese</w:t>
            </w:r>
          </w:p>
        </w:tc>
        <w:tc>
          <w:tcPr>
            <w:tcW w:w="306" w:type="pct"/>
            <w:tcBorders>
              <w:tl2br w:val="nil"/>
              <w:tr2bl w:val="nil"/>
            </w:tcBorders>
            <w:shd w:val="clear" w:color="auto" w:fill="auto"/>
            <w:tcMar>
              <w:top w:w="12" w:type="dxa"/>
              <w:left w:w="12" w:type="dxa"/>
              <w:right w:w="12" w:type="dxa"/>
            </w:tcMar>
            <w:vAlign w:val="center"/>
          </w:tcPr>
          <w:p w14:paraId="45570141">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2</w:t>
            </w:r>
          </w:p>
        </w:tc>
        <w:tc>
          <w:tcPr>
            <w:tcW w:w="248" w:type="pct"/>
            <w:tcBorders>
              <w:tl2br w:val="nil"/>
              <w:tr2bl w:val="nil"/>
            </w:tcBorders>
            <w:shd w:val="clear" w:color="auto" w:fill="auto"/>
            <w:tcMar>
              <w:top w:w="12" w:type="dxa"/>
              <w:left w:w="12" w:type="dxa"/>
              <w:right w:w="12" w:type="dxa"/>
            </w:tcMar>
            <w:vAlign w:val="center"/>
          </w:tcPr>
          <w:p w14:paraId="1BCB839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285" w:type="pct"/>
            <w:tcBorders>
              <w:tl2br w:val="nil"/>
              <w:tr2bl w:val="nil"/>
            </w:tcBorders>
            <w:shd w:val="clear" w:color="auto" w:fill="auto"/>
            <w:tcMar>
              <w:top w:w="12" w:type="dxa"/>
              <w:left w:w="12" w:type="dxa"/>
              <w:right w:w="12" w:type="dxa"/>
            </w:tcMar>
            <w:vAlign w:val="center"/>
          </w:tcPr>
          <w:p w14:paraId="5E574EB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32</w:t>
            </w:r>
          </w:p>
        </w:tc>
        <w:tc>
          <w:tcPr>
            <w:tcW w:w="301" w:type="pct"/>
            <w:tcBorders>
              <w:tl2br w:val="nil"/>
              <w:tr2bl w:val="nil"/>
            </w:tcBorders>
            <w:shd w:val="clear" w:color="auto" w:fill="auto"/>
            <w:tcMar>
              <w:top w:w="12" w:type="dxa"/>
              <w:left w:w="12" w:type="dxa"/>
              <w:right w:w="12" w:type="dxa"/>
            </w:tcMar>
            <w:vAlign w:val="center"/>
          </w:tcPr>
          <w:p w14:paraId="481BAEE8">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582A307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B45544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32845A5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40F995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F477C8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1D43BF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A015401">
            <w:pPr>
              <w:keepNext w:val="0"/>
              <w:keepLines w:val="0"/>
              <w:pageBreakBefore w:val="0"/>
              <w:wordWrap/>
              <w:topLinePunct w:val="0"/>
              <w:bidi w:val="0"/>
              <w:adjustRightInd w:val="0"/>
              <w:snapToGrid w:val="0"/>
              <w:spacing w:line="240" w:lineRule="auto"/>
              <w:ind w:left="0" w:right="0"/>
              <w:jc w:val="center"/>
              <w:rPr>
                <w:rFonts w:hint="eastAsia" w:ascii="Times New Roman" w:hAnsi="Times New Roman" w:cs="宋体"/>
                <w:bCs/>
                <w:sz w:val="17"/>
                <w:szCs w:val="17"/>
                <w:highlight w:val="none"/>
              </w:rPr>
            </w:pPr>
            <w:r>
              <w:rPr>
                <w:rFonts w:hint="eastAsia" w:ascii="Times New Roman" w:hAnsi="Times New Roman" w:cs="宋体"/>
                <w:bCs/>
                <w:sz w:val="17"/>
                <w:szCs w:val="17"/>
                <w:highlight w:val="none"/>
              </w:rPr>
              <w:t>3221111002</w:t>
            </w:r>
          </w:p>
        </w:tc>
        <w:tc>
          <w:tcPr>
            <w:tcW w:w="1250" w:type="pct"/>
            <w:tcBorders>
              <w:tl2br w:val="nil"/>
              <w:tr2bl w:val="nil"/>
            </w:tcBorders>
            <w:shd w:val="clear" w:color="auto" w:fill="auto"/>
            <w:tcMar>
              <w:top w:w="12" w:type="dxa"/>
              <w:left w:w="12" w:type="dxa"/>
              <w:right w:w="12" w:type="dxa"/>
            </w:tcMar>
            <w:vAlign w:val="center"/>
          </w:tcPr>
          <w:p w14:paraId="060C779E">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高等数学A(一)</w:t>
            </w:r>
          </w:p>
          <w:p w14:paraId="1F9271F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Advanced Mathematics A</w:t>
            </w:r>
            <w:r>
              <w:rPr>
                <w:rFonts w:hint="eastAsia" w:ascii="Times New Roman" w:hAnsi="Times New Roman" w:eastAsia="宋体" w:cs="Times New Roman"/>
                <w:bCs/>
                <w:kern w:val="0"/>
                <w:sz w:val="17"/>
                <w:szCs w:val="17"/>
                <w:lang w:val="en-US" w:eastAsia="zh-CN" w:bidi="ar"/>
              </w:rPr>
              <w:t>(I)</w:t>
            </w:r>
          </w:p>
        </w:tc>
        <w:tc>
          <w:tcPr>
            <w:tcW w:w="306" w:type="pct"/>
            <w:tcBorders>
              <w:tl2br w:val="nil"/>
              <w:tr2bl w:val="nil"/>
            </w:tcBorders>
            <w:shd w:val="clear" w:color="auto" w:fill="auto"/>
            <w:tcMar>
              <w:top w:w="12" w:type="dxa"/>
              <w:left w:w="12" w:type="dxa"/>
              <w:right w:w="12" w:type="dxa"/>
            </w:tcMar>
            <w:vAlign w:val="center"/>
          </w:tcPr>
          <w:p w14:paraId="4894A6E3">
            <w:pPr>
              <w:keepNext w:val="0"/>
              <w:keepLines w:val="0"/>
              <w:pageBreakBefore w:val="0"/>
              <w:wordWrap/>
              <w:topLinePunct w:val="0"/>
              <w:bidi w:val="0"/>
              <w:adjustRightInd w:val="0"/>
              <w:snapToGrid w:val="0"/>
              <w:spacing w:line="240" w:lineRule="auto"/>
              <w:ind w:left="0" w:right="0"/>
              <w:jc w:val="center"/>
              <w:rPr>
                <w:rFonts w:ascii="Times New Roman" w:hAnsi="Times New Roman" w:eastAsia="宋体" w:cs="Times New Roman"/>
                <w:bCs/>
                <w:color w:val="000000"/>
                <w:kern w:val="0"/>
                <w:sz w:val="17"/>
                <w:szCs w:val="17"/>
                <w:highlight w:val="none"/>
                <w:lang w:bidi="ar"/>
              </w:rPr>
            </w:pPr>
            <w:r>
              <w:rPr>
                <w:rFonts w:hint="eastAsia" w:ascii="Times New Roman" w:hAnsi="Times New Roman" w:eastAsia="宋体" w:cs="Times New Roman"/>
                <w:bCs/>
                <w:color w:val="000000"/>
                <w:kern w:val="0"/>
                <w:sz w:val="17"/>
                <w:szCs w:val="17"/>
                <w:highlight w:val="none"/>
                <w:lang w:val="en-US" w:eastAsia="zh-CN" w:bidi="ar"/>
              </w:rPr>
              <w:t>4</w:t>
            </w:r>
          </w:p>
        </w:tc>
        <w:tc>
          <w:tcPr>
            <w:tcW w:w="248" w:type="pct"/>
            <w:tcBorders>
              <w:tl2br w:val="nil"/>
              <w:tr2bl w:val="nil"/>
            </w:tcBorders>
            <w:shd w:val="clear" w:color="auto" w:fill="auto"/>
            <w:tcMar>
              <w:top w:w="12" w:type="dxa"/>
              <w:left w:w="12" w:type="dxa"/>
              <w:right w:w="12" w:type="dxa"/>
            </w:tcMar>
            <w:vAlign w:val="center"/>
          </w:tcPr>
          <w:p w14:paraId="1B45718F">
            <w:pPr>
              <w:keepNext w:val="0"/>
              <w:keepLines w:val="0"/>
              <w:pageBreakBefore w:val="0"/>
              <w:wordWrap/>
              <w:topLinePunct w:val="0"/>
              <w:bidi w:val="0"/>
              <w:adjustRightInd w:val="0"/>
              <w:snapToGrid w:val="0"/>
              <w:spacing w:line="240" w:lineRule="auto"/>
              <w:ind w:left="0" w:right="0"/>
              <w:jc w:val="center"/>
              <w:rPr>
                <w:rFonts w:ascii="Times New Roman" w:hAnsi="Times New Roman" w:eastAsia="宋体" w:cs="Times New Roman"/>
                <w:bCs/>
                <w:color w:val="000000"/>
                <w:kern w:val="0"/>
                <w:sz w:val="17"/>
                <w:szCs w:val="17"/>
                <w:highlight w:val="none"/>
                <w:lang w:bidi="ar"/>
              </w:rPr>
            </w:pPr>
            <w:r>
              <w:rPr>
                <w:rFonts w:hint="eastAsia" w:ascii="Times New Roman" w:hAnsi="Times New Roman" w:eastAsia="宋体" w:cs="Times New Roman"/>
                <w:bCs/>
                <w:color w:val="000000"/>
                <w:kern w:val="0"/>
                <w:sz w:val="17"/>
                <w:szCs w:val="17"/>
                <w:highlight w:val="none"/>
                <w:lang w:val="en-US" w:eastAsia="zh-CN" w:bidi="ar"/>
              </w:rPr>
              <w:t>64</w:t>
            </w:r>
          </w:p>
        </w:tc>
        <w:tc>
          <w:tcPr>
            <w:tcW w:w="285" w:type="pct"/>
            <w:tcBorders>
              <w:tl2br w:val="nil"/>
              <w:tr2bl w:val="nil"/>
            </w:tcBorders>
            <w:shd w:val="clear" w:color="auto" w:fill="auto"/>
            <w:tcMar>
              <w:top w:w="12" w:type="dxa"/>
              <w:left w:w="12" w:type="dxa"/>
              <w:right w:w="12" w:type="dxa"/>
            </w:tcMar>
            <w:vAlign w:val="center"/>
          </w:tcPr>
          <w:p w14:paraId="3F3C1A90">
            <w:pPr>
              <w:keepNext w:val="0"/>
              <w:keepLines w:val="0"/>
              <w:pageBreakBefore w:val="0"/>
              <w:wordWrap/>
              <w:topLinePunct w:val="0"/>
              <w:bidi w:val="0"/>
              <w:adjustRightInd w:val="0"/>
              <w:snapToGrid w:val="0"/>
              <w:spacing w:line="240" w:lineRule="auto"/>
              <w:ind w:left="0" w:right="0"/>
              <w:jc w:val="center"/>
              <w:rPr>
                <w:rFonts w:ascii="Times New Roman" w:hAnsi="Times New Roman" w:cs="宋体"/>
                <w:bCs/>
                <w:color w:val="000000"/>
                <w:kern w:val="0"/>
                <w:sz w:val="17"/>
                <w:szCs w:val="17"/>
                <w:highlight w:val="none"/>
              </w:rPr>
            </w:pPr>
            <w:r>
              <w:rPr>
                <w:rFonts w:hint="eastAsia" w:ascii="Times New Roman" w:hAnsi="Times New Roman" w:cs="宋体"/>
                <w:bCs/>
                <w:color w:val="000000"/>
                <w:kern w:val="0"/>
                <w:sz w:val="17"/>
                <w:szCs w:val="17"/>
                <w:highlight w:val="none"/>
                <w:lang w:val="en-US" w:eastAsia="zh-CN"/>
              </w:rPr>
              <w:t>64</w:t>
            </w:r>
          </w:p>
        </w:tc>
        <w:tc>
          <w:tcPr>
            <w:tcW w:w="301" w:type="pct"/>
            <w:tcBorders>
              <w:tl2br w:val="nil"/>
              <w:tr2bl w:val="nil"/>
            </w:tcBorders>
            <w:shd w:val="clear" w:color="auto" w:fill="auto"/>
            <w:tcMar>
              <w:top w:w="12" w:type="dxa"/>
              <w:left w:w="12" w:type="dxa"/>
              <w:right w:w="12" w:type="dxa"/>
            </w:tcMar>
            <w:vAlign w:val="center"/>
          </w:tcPr>
          <w:p w14:paraId="2C186F5C">
            <w:pPr>
              <w:keepNext w:val="0"/>
              <w:keepLines w:val="0"/>
              <w:pageBreakBefore w:val="0"/>
              <w:wordWrap/>
              <w:topLinePunct w:val="0"/>
              <w:bidi w:val="0"/>
              <w:adjustRightInd w:val="0"/>
              <w:snapToGrid w:val="0"/>
              <w:spacing w:line="240" w:lineRule="auto"/>
              <w:ind w:left="0" w:right="0"/>
              <w:jc w:val="center"/>
              <w:rPr>
                <w:rFonts w:hint="eastAsia" w:ascii="Times New Roman" w:hAnsi="Times New Roman" w:cs="宋体"/>
                <w:bCs/>
                <w:kern w:val="0"/>
                <w:sz w:val="17"/>
                <w:szCs w:val="17"/>
                <w:highlight w:val="none"/>
              </w:rPr>
            </w:pPr>
            <w:r>
              <w:rPr>
                <w:rFonts w:hint="eastAsia" w:ascii="Times New Roman" w:hAnsi="Times New Roman" w:cs="宋体"/>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2ADCAA1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27D4D8B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30A540E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0821AF2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91AC46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C404D5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359D9AE">
            <w:pPr>
              <w:keepNext w:val="0"/>
              <w:keepLines w:val="0"/>
              <w:pageBreakBefore w:val="0"/>
              <w:wordWrap/>
              <w:topLinePunct w:val="0"/>
              <w:bidi w:val="0"/>
              <w:adjustRightInd w:val="0"/>
              <w:snapToGrid w:val="0"/>
              <w:spacing w:line="240" w:lineRule="auto"/>
              <w:ind w:left="0" w:right="0"/>
              <w:jc w:val="center"/>
              <w:rPr>
                <w:rFonts w:hint="eastAsia" w:ascii="Times New Roman" w:hAnsi="Times New Roman" w:cs="宋体"/>
                <w:bCs/>
                <w:sz w:val="17"/>
                <w:szCs w:val="17"/>
                <w:highlight w:val="none"/>
              </w:rPr>
            </w:pPr>
            <w:r>
              <w:rPr>
                <w:rFonts w:hint="eastAsia" w:ascii="Times New Roman" w:hAnsi="Times New Roman" w:cs="宋体"/>
                <w:bCs/>
                <w:sz w:val="17"/>
                <w:szCs w:val="17"/>
                <w:highlight w:val="none"/>
              </w:rPr>
              <w:t>322111100</w:t>
            </w:r>
            <w:r>
              <w:rPr>
                <w:rFonts w:hint="eastAsia" w:ascii="Times New Roman" w:hAnsi="Times New Roman" w:cs="宋体"/>
                <w:bCs/>
                <w:sz w:val="17"/>
                <w:szCs w:val="17"/>
                <w:highlight w:val="none"/>
                <w:lang w:val="en-US" w:eastAsia="zh-CN"/>
              </w:rPr>
              <w:t>3</w:t>
            </w:r>
          </w:p>
        </w:tc>
        <w:tc>
          <w:tcPr>
            <w:tcW w:w="1250" w:type="pct"/>
            <w:tcBorders>
              <w:tl2br w:val="nil"/>
              <w:tr2bl w:val="nil"/>
            </w:tcBorders>
            <w:shd w:val="clear" w:color="auto" w:fill="auto"/>
            <w:tcMar>
              <w:top w:w="12" w:type="dxa"/>
              <w:left w:w="12" w:type="dxa"/>
              <w:right w:w="12" w:type="dxa"/>
            </w:tcMar>
            <w:vAlign w:val="center"/>
          </w:tcPr>
          <w:p w14:paraId="0FE3F94F">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高等数学A(</w:t>
            </w:r>
            <w:r>
              <w:rPr>
                <w:rFonts w:hint="eastAsia" w:ascii="Times New Roman" w:hAnsi="Times New Roman" w:eastAsia="宋体" w:cs="Times New Roman"/>
                <w:bCs/>
                <w:kern w:val="0"/>
                <w:sz w:val="17"/>
                <w:szCs w:val="17"/>
                <w:lang w:val="en-US" w:eastAsia="zh-CN" w:bidi="ar"/>
              </w:rPr>
              <w:t>二</w:t>
            </w:r>
            <w:r>
              <w:rPr>
                <w:rFonts w:hint="eastAsia" w:ascii="Times New Roman" w:hAnsi="Times New Roman" w:eastAsia="宋体" w:cs="Times New Roman"/>
                <w:bCs/>
                <w:kern w:val="0"/>
                <w:sz w:val="17"/>
                <w:szCs w:val="17"/>
                <w:lang w:bidi="ar"/>
              </w:rPr>
              <w:t>)</w:t>
            </w:r>
          </w:p>
          <w:p w14:paraId="50FDFE00">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bidi="ar"/>
              </w:rPr>
              <w:t>Advanced Mathematics A(II)</w:t>
            </w:r>
          </w:p>
        </w:tc>
        <w:tc>
          <w:tcPr>
            <w:tcW w:w="306" w:type="pct"/>
            <w:tcBorders>
              <w:tl2br w:val="nil"/>
              <w:tr2bl w:val="nil"/>
            </w:tcBorders>
            <w:shd w:val="clear" w:color="auto" w:fill="auto"/>
            <w:tcMar>
              <w:top w:w="12" w:type="dxa"/>
              <w:left w:w="12" w:type="dxa"/>
              <w:right w:w="12" w:type="dxa"/>
            </w:tcMar>
            <w:vAlign w:val="center"/>
          </w:tcPr>
          <w:p w14:paraId="6B30A359">
            <w:pPr>
              <w:keepNext w:val="0"/>
              <w:keepLines w:val="0"/>
              <w:pageBreakBefore w:val="0"/>
              <w:wordWrap/>
              <w:topLinePunct w:val="0"/>
              <w:bidi w:val="0"/>
              <w:adjustRightInd w:val="0"/>
              <w:snapToGrid w:val="0"/>
              <w:spacing w:line="240" w:lineRule="auto"/>
              <w:ind w:left="0" w:right="0"/>
              <w:jc w:val="center"/>
              <w:rPr>
                <w:rFonts w:ascii="Times New Roman" w:hAnsi="Times New Roman" w:eastAsia="宋体" w:cs="Times New Roman"/>
                <w:bCs/>
                <w:color w:val="000000"/>
                <w:kern w:val="0"/>
                <w:sz w:val="17"/>
                <w:szCs w:val="17"/>
                <w:highlight w:val="none"/>
                <w:lang w:bidi="ar"/>
              </w:rPr>
            </w:pPr>
            <w:r>
              <w:rPr>
                <w:rFonts w:hint="eastAsia" w:ascii="Times New Roman" w:hAnsi="Times New Roman" w:eastAsia="宋体" w:cs="Times New Roman"/>
                <w:bCs/>
                <w:color w:val="000000"/>
                <w:kern w:val="0"/>
                <w:sz w:val="17"/>
                <w:szCs w:val="17"/>
                <w:highlight w:val="none"/>
                <w:lang w:val="en-US" w:eastAsia="zh-CN" w:bidi="ar"/>
              </w:rPr>
              <w:t>2</w:t>
            </w:r>
          </w:p>
        </w:tc>
        <w:tc>
          <w:tcPr>
            <w:tcW w:w="248" w:type="pct"/>
            <w:tcBorders>
              <w:tl2br w:val="nil"/>
              <w:tr2bl w:val="nil"/>
            </w:tcBorders>
            <w:shd w:val="clear" w:color="auto" w:fill="auto"/>
            <w:tcMar>
              <w:top w:w="12" w:type="dxa"/>
              <w:left w:w="12" w:type="dxa"/>
              <w:right w:w="12" w:type="dxa"/>
            </w:tcMar>
            <w:vAlign w:val="center"/>
          </w:tcPr>
          <w:p w14:paraId="2413EC14">
            <w:pPr>
              <w:keepNext w:val="0"/>
              <w:keepLines w:val="0"/>
              <w:pageBreakBefore w:val="0"/>
              <w:wordWrap/>
              <w:topLinePunct w:val="0"/>
              <w:bidi w:val="0"/>
              <w:adjustRightInd w:val="0"/>
              <w:snapToGrid w:val="0"/>
              <w:spacing w:line="240" w:lineRule="auto"/>
              <w:ind w:left="0" w:right="0"/>
              <w:jc w:val="center"/>
              <w:rPr>
                <w:rFonts w:ascii="Times New Roman" w:hAnsi="Times New Roman" w:eastAsia="宋体" w:cs="Times New Roman"/>
                <w:bCs/>
                <w:color w:val="000000"/>
                <w:kern w:val="0"/>
                <w:sz w:val="17"/>
                <w:szCs w:val="17"/>
                <w:highlight w:val="none"/>
                <w:lang w:bidi="ar"/>
              </w:rPr>
            </w:pPr>
            <w:r>
              <w:rPr>
                <w:rFonts w:hint="eastAsia" w:ascii="Times New Roman" w:hAnsi="Times New Roman" w:eastAsia="宋体" w:cs="Times New Roman"/>
                <w:bCs/>
                <w:color w:val="000000"/>
                <w:kern w:val="0"/>
                <w:sz w:val="17"/>
                <w:szCs w:val="17"/>
                <w:highlight w:val="none"/>
                <w:lang w:val="en-US" w:eastAsia="zh-CN" w:bidi="ar"/>
              </w:rPr>
              <w:t>32</w:t>
            </w:r>
          </w:p>
        </w:tc>
        <w:tc>
          <w:tcPr>
            <w:tcW w:w="285" w:type="pct"/>
            <w:tcBorders>
              <w:tl2br w:val="nil"/>
              <w:tr2bl w:val="nil"/>
            </w:tcBorders>
            <w:shd w:val="clear" w:color="auto" w:fill="auto"/>
            <w:tcMar>
              <w:top w:w="12" w:type="dxa"/>
              <w:left w:w="12" w:type="dxa"/>
              <w:right w:w="12" w:type="dxa"/>
            </w:tcMar>
            <w:vAlign w:val="center"/>
          </w:tcPr>
          <w:p w14:paraId="7BD08F5A">
            <w:pPr>
              <w:keepNext w:val="0"/>
              <w:keepLines w:val="0"/>
              <w:pageBreakBefore w:val="0"/>
              <w:wordWrap/>
              <w:topLinePunct w:val="0"/>
              <w:bidi w:val="0"/>
              <w:adjustRightInd w:val="0"/>
              <w:snapToGrid w:val="0"/>
              <w:spacing w:line="240" w:lineRule="auto"/>
              <w:ind w:left="0" w:right="0"/>
              <w:jc w:val="center"/>
              <w:rPr>
                <w:rFonts w:ascii="Times New Roman" w:hAnsi="Times New Roman" w:cs="宋体"/>
                <w:bCs/>
                <w:color w:val="000000"/>
                <w:kern w:val="0"/>
                <w:sz w:val="17"/>
                <w:szCs w:val="17"/>
                <w:highlight w:val="none"/>
              </w:rPr>
            </w:pPr>
            <w:r>
              <w:rPr>
                <w:rFonts w:hint="eastAsia" w:ascii="Times New Roman" w:hAnsi="Times New Roman" w:cs="宋体"/>
                <w:bCs/>
                <w:color w:val="000000"/>
                <w:kern w:val="0"/>
                <w:sz w:val="17"/>
                <w:szCs w:val="17"/>
                <w:highlight w:val="none"/>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11B80BFF">
            <w:pPr>
              <w:keepNext w:val="0"/>
              <w:keepLines w:val="0"/>
              <w:pageBreakBefore w:val="0"/>
              <w:wordWrap/>
              <w:topLinePunct w:val="0"/>
              <w:bidi w:val="0"/>
              <w:adjustRightInd w:val="0"/>
              <w:snapToGrid w:val="0"/>
              <w:spacing w:line="240" w:lineRule="auto"/>
              <w:ind w:left="0" w:right="0"/>
              <w:jc w:val="center"/>
              <w:rPr>
                <w:rFonts w:hint="eastAsia" w:ascii="Times New Roman" w:hAnsi="Times New Roman" w:cs="宋体"/>
                <w:bCs/>
                <w:kern w:val="0"/>
                <w:sz w:val="17"/>
                <w:szCs w:val="17"/>
                <w:highlight w:val="none"/>
              </w:rPr>
            </w:pPr>
            <w:r>
              <w:rPr>
                <w:rFonts w:hint="eastAsia" w:ascii="Times New Roman" w:hAnsi="Times New Roman" w:cs="宋体"/>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4E359CF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380F4B81">
            <w:pPr>
              <w:keepNext w:val="0"/>
              <w:keepLines w:val="0"/>
              <w:pageBreakBefore w:val="0"/>
              <w:wordWrap/>
              <w:topLinePunct w:val="0"/>
              <w:bidi w:val="0"/>
              <w:adjustRightInd w:val="0"/>
              <w:spacing w:line="240" w:lineRule="auto"/>
              <w:ind w:left="0" w:right="0"/>
              <w:jc w:val="center"/>
              <w:rPr>
                <w:rFonts w:hint="eastAsia"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70DB1F68">
            <w:pPr>
              <w:keepNext w:val="0"/>
              <w:keepLines w:val="0"/>
              <w:pageBreakBefore w:val="0"/>
              <w:wordWrap/>
              <w:topLinePunct w:val="0"/>
              <w:bidi w:val="0"/>
              <w:adjustRightInd w:val="0"/>
              <w:spacing w:line="240" w:lineRule="auto"/>
              <w:ind w:left="0" w:right="0"/>
              <w:jc w:val="center"/>
              <w:rPr>
                <w:rFonts w:hint="eastAsia" w:ascii="Times New Roman" w:hAnsi="Times New Roman" w:cs="Times New Roman"/>
                <w:bCs/>
                <w:kern w:val="0"/>
                <w:sz w:val="17"/>
                <w:szCs w:val="17"/>
                <w:highlight w:val="none"/>
                <w:lang w:val="en-US" w:eastAsia="zh-CN"/>
              </w:rPr>
            </w:pPr>
          </w:p>
        </w:tc>
      </w:tr>
      <w:tr w14:paraId="653DE88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141423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D2CB87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4DFFA0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3421289001</w:t>
            </w:r>
          </w:p>
        </w:tc>
        <w:tc>
          <w:tcPr>
            <w:tcW w:w="1250" w:type="pct"/>
            <w:tcBorders>
              <w:tl2br w:val="nil"/>
              <w:tr2bl w:val="nil"/>
            </w:tcBorders>
            <w:shd w:val="clear" w:color="auto" w:fill="auto"/>
            <w:tcMar>
              <w:top w:w="12" w:type="dxa"/>
              <w:left w:w="12" w:type="dxa"/>
              <w:right w:w="12" w:type="dxa"/>
            </w:tcMar>
            <w:vAlign w:val="center"/>
          </w:tcPr>
          <w:p w14:paraId="4E0485AC">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大学体育（一）</w:t>
            </w:r>
          </w:p>
          <w:p w14:paraId="6E5FF09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val="en-US" w:eastAsia="zh-CN" w:bidi="ar"/>
              </w:rPr>
              <w:t>(I)</w:t>
            </w:r>
          </w:p>
        </w:tc>
        <w:tc>
          <w:tcPr>
            <w:tcW w:w="306" w:type="pct"/>
            <w:tcBorders>
              <w:tl2br w:val="nil"/>
              <w:tr2bl w:val="nil"/>
            </w:tcBorders>
            <w:shd w:val="clear" w:color="auto" w:fill="auto"/>
            <w:tcMar>
              <w:top w:w="12" w:type="dxa"/>
              <w:left w:w="12" w:type="dxa"/>
              <w:right w:w="12" w:type="dxa"/>
            </w:tcMar>
            <w:vAlign w:val="center"/>
          </w:tcPr>
          <w:p w14:paraId="4D86215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1</w:t>
            </w:r>
          </w:p>
        </w:tc>
        <w:tc>
          <w:tcPr>
            <w:tcW w:w="248" w:type="pct"/>
            <w:tcBorders>
              <w:tl2br w:val="nil"/>
              <w:tr2bl w:val="nil"/>
            </w:tcBorders>
            <w:shd w:val="clear" w:color="auto" w:fill="auto"/>
            <w:tcMar>
              <w:top w:w="12" w:type="dxa"/>
              <w:left w:w="12" w:type="dxa"/>
              <w:right w:w="12" w:type="dxa"/>
            </w:tcMar>
            <w:vAlign w:val="center"/>
          </w:tcPr>
          <w:p w14:paraId="77786859">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36</w:t>
            </w:r>
          </w:p>
        </w:tc>
        <w:tc>
          <w:tcPr>
            <w:tcW w:w="285" w:type="pct"/>
            <w:tcBorders>
              <w:tl2br w:val="nil"/>
              <w:tr2bl w:val="nil"/>
            </w:tcBorders>
            <w:shd w:val="clear" w:color="auto" w:fill="auto"/>
            <w:tcMar>
              <w:top w:w="12" w:type="dxa"/>
              <w:left w:w="12" w:type="dxa"/>
              <w:right w:w="12" w:type="dxa"/>
            </w:tcMar>
            <w:vAlign w:val="center"/>
          </w:tcPr>
          <w:p w14:paraId="2F560939">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highlight w:val="none"/>
              </w:rPr>
              <w:t>4</w:t>
            </w:r>
          </w:p>
        </w:tc>
        <w:tc>
          <w:tcPr>
            <w:tcW w:w="301" w:type="pct"/>
            <w:tcBorders>
              <w:tl2br w:val="nil"/>
              <w:tr2bl w:val="nil"/>
            </w:tcBorders>
            <w:shd w:val="clear" w:color="auto" w:fill="auto"/>
            <w:tcMar>
              <w:top w:w="12" w:type="dxa"/>
              <w:left w:w="12" w:type="dxa"/>
              <w:right w:w="12" w:type="dxa"/>
            </w:tcMar>
            <w:vAlign w:val="center"/>
          </w:tcPr>
          <w:p w14:paraId="3DD6A691">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32</w:t>
            </w:r>
          </w:p>
        </w:tc>
        <w:tc>
          <w:tcPr>
            <w:tcW w:w="295" w:type="pct"/>
            <w:tcBorders>
              <w:tl2br w:val="nil"/>
              <w:tr2bl w:val="nil"/>
            </w:tcBorders>
            <w:shd w:val="clear" w:color="auto" w:fill="auto"/>
            <w:tcMar>
              <w:top w:w="12" w:type="dxa"/>
              <w:left w:w="12" w:type="dxa"/>
              <w:right w:w="12" w:type="dxa"/>
            </w:tcMar>
            <w:vAlign w:val="center"/>
          </w:tcPr>
          <w:p w14:paraId="05963F4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150A555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3EEA5FF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46789FA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C35BBA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00C1C8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6A8A4F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3421289002</w:t>
            </w:r>
          </w:p>
        </w:tc>
        <w:tc>
          <w:tcPr>
            <w:tcW w:w="1250" w:type="pct"/>
            <w:tcBorders>
              <w:tl2br w:val="nil"/>
              <w:tr2bl w:val="nil"/>
            </w:tcBorders>
            <w:shd w:val="clear" w:color="auto" w:fill="auto"/>
            <w:tcMar>
              <w:top w:w="12" w:type="dxa"/>
              <w:left w:w="12" w:type="dxa"/>
              <w:right w:w="12" w:type="dxa"/>
            </w:tcMar>
            <w:vAlign w:val="center"/>
          </w:tcPr>
          <w:p w14:paraId="7C527578">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大学体育（二）</w:t>
            </w:r>
          </w:p>
          <w:p w14:paraId="018D9F9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w:t>
            </w:r>
            <w:r>
              <w:rPr>
                <w:rFonts w:hint="eastAsia" w:ascii="Times New Roman" w:hAnsi="Times New Roman" w:eastAsia="宋体" w:cs="Times New Roman"/>
                <w:bCs/>
                <w:kern w:val="0"/>
                <w:sz w:val="17"/>
                <w:szCs w:val="17"/>
                <w:lang w:val="en-US" w:eastAsia="zh-CN" w:bidi="ar"/>
              </w:rPr>
              <w:t>(II)</w:t>
            </w:r>
          </w:p>
        </w:tc>
        <w:tc>
          <w:tcPr>
            <w:tcW w:w="306" w:type="pct"/>
            <w:tcBorders>
              <w:tl2br w:val="nil"/>
              <w:tr2bl w:val="nil"/>
            </w:tcBorders>
            <w:shd w:val="clear" w:color="auto" w:fill="auto"/>
            <w:tcMar>
              <w:top w:w="12" w:type="dxa"/>
              <w:left w:w="12" w:type="dxa"/>
              <w:right w:w="12" w:type="dxa"/>
            </w:tcMar>
            <w:vAlign w:val="center"/>
          </w:tcPr>
          <w:p w14:paraId="3E88FF38">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1</w:t>
            </w:r>
          </w:p>
        </w:tc>
        <w:tc>
          <w:tcPr>
            <w:tcW w:w="248" w:type="pct"/>
            <w:tcBorders>
              <w:tl2br w:val="nil"/>
              <w:tr2bl w:val="nil"/>
            </w:tcBorders>
            <w:shd w:val="clear" w:color="auto" w:fill="auto"/>
            <w:tcMar>
              <w:top w:w="12" w:type="dxa"/>
              <w:left w:w="12" w:type="dxa"/>
              <w:right w:w="12" w:type="dxa"/>
            </w:tcMar>
            <w:vAlign w:val="center"/>
          </w:tcPr>
          <w:p w14:paraId="506604D8">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36</w:t>
            </w:r>
          </w:p>
        </w:tc>
        <w:tc>
          <w:tcPr>
            <w:tcW w:w="285" w:type="pct"/>
            <w:tcBorders>
              <w:tl2br w:val="nil"/>
              <w:tr2bl w:val="nil"/>
            </w:tcBorders>
            <w:shd w:val="clear" w:color="auto" w:fill="auto"/>
            <w:tcMar>
              <w:top w:w="12" w:type="dxa"/>
              <w:left w:w="12" w:type="dxa"/>
              <w:right w:w="12" w:type="dxa"/>
            </w:tcMar>
            <w:vAlign w:val="center"/>
          </w:tcPr>
          <w:p w14:paraId="45EBB42B">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highlight w:val="none"/>
              </w:rPr>
              <w:t>4</w:t>
            </w:r>
          </w:p>
        </w:tc>
        <w:tc>
          <w:tcPr>
            <w:tcW w:w="301" w:type="pct"/>
            <w:tcBorders>
              <w:tl2br w:val="nil"/>
              <w:tr2bl w:val="nil"/>
            </w:tcBorders>
            <w:shd w:val="clear" w:color="auto" w:fill="auto"/>
            <w:tcMar>
              <w:top w:w="12" w:type="dxa"/>
              <w:left w:w="12" w:type="dxa"/>
              <w:right w:w="12" w:type="dxa"/>
            </w:tcMar>
            <w:vAlign w:val="center"/>
          </w:tcPr>
          <w:p w14:paraId="031A9057">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32</w:t>
            </w:r>
          </w:p>
        </w:tc>
        <w:tc>
          <w:tcPr>
            <w:tcW w:w="295" w:type="pct"/>
            <w:tcBorders>
              <w:tl2br w:val="nil"/>
              <w:tr2bl w:val="nil"/>
            </w:tcBorders>
            <w:shd w:val="clear" w:color="auto" w:fill="auto"/>
            <w:tcMar>
              <w:top w:w="12" w:type="dxa"/>
              <w:left w:w="12" w:type="dxa"/>
              <w:right w:w="12" w:type="dxa"/>
            </w:tcMar>
            <w:vAlign w:val="center"/>
          </w:tcPr>
          <w:p w14:paraId="4BE34A3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74B1FB4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2694CF9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2F8588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97DBA8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4BC653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252309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3421289003</w:t>
            </w:r>
          </w:p>
        </w:tc>
        <w:tc>
          <w:tcPr>
            <w:tcW w:w="1250" w:type="pct"/>
            <w:tcBorders>
              <w:tl2br w:val="nil"/>
              <w:tr2bl w:val="nil"/>
            </w:tcBorders>
            <w:shd w:val="clear" w:color="auto" w:fill="auto"/>
            <w:tcMar>
              <w:top w:w="12" w:type="dxa"/>
              <w:left w:w="12" w:type="dxa"/>
              <w:right w:w="12" w:type="dxa"/>
            </w:tcMar>
            <w:vAlign w:val="center"/>
          </w:tcPr>
          <w:p w14:paraId="7BD1B292">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大学体育（三）</w:t>
            </w:r>
          </w:p>
          <w:p w14:paraId="3359C34D">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Sports（III）</w:t>
            </w:r>
          </w:p>
        </w:tc>
        <w:tc>
          <w:tcPr>
            <w:tcW w:w="306" w:type="pct"/>
            <w:tcBorders>
              <w:tl2br w:val="nil"/>
              <w:tr2bl w:val="nil"/>
            </w:tcBorders>
            <w:shd w:val="clear" w:color="auto" w:fill="auto"/>
            <w:tcMar>
              <w:top w:w="12" w:type="dxa"/>
              <w:left w:w="12" w:type="dxa"/>
              <w:right w:w="12" w:type="dxa"/>
            </w:tcMar>
            <w:vAlign w:val="center"/>
          </w:tcPr>
          <w:p w14:paraId="23207D6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1</w:t>
            </w:r>
          </w:p>
        </w:tc>
        <w:tc>
          <w:tcPr>
            <w:tcW w:w="248" w:type="pct"/>
            <w:tcBorders>
              <w:tl2br w:val="nil"/>
              <w:tr2bl w:val="nil"/>
            </w:tcBorders>
            <w:shd w:val="clear" w:color="auto" w:fill="auto"/>
            <w:tcMar>
              <w:top w:w="12" w:type="dxa"/>
              <w:left w:w="12" w:type="dxa"/>
              <w:right w:w="12" w:type="dxa"/>
            </w:tcMar>
            <w:vAlign w:val="center"/>
          </w:tcPr>
          <w:p w14:paraId="5778E04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36</w:t>
            </w:r>
          </w:p>
        </w:tc>
        <w:tc>
          <w:tcPr>
            <w:tcW w:w="285" w:type="pct"/>
            <w:tcBorders>
              <w:tl2br w:val="nil"/>
              <w:tr2bl w:val="nil"/>
            </w:tcBorders>
            <w:shd w:val="clear" w:color="auto" w:fill="auto"/>
            <w:tcMar>
              <w:top w:w="12" w:type="dxa"/>
              <w:left w:w="12" w:type="dxa"/>
              <w:right w:w="12" w:type="dxa"/>
            </w:tcMar>
            <w:vAlign w:val="center"/>
          </w:tcPr>
          <w:p w14:paraId="17E007C7">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color w:val="000000"/>
                <w:kern w:val="0"/>
                <w:sz w:val="17"/>
                <w:szCs w:val="17"/>
                <w:highlight w:val="none"/>
              </w:rPr>
              <w:t>4</w:t>
            </w:r>
          </w:p>
        </w:tc>
        <w:tc>
          <w:tcPr>
            <w:tcW w:w="301" w:type="pct"/>
            <w:tcBorders>
              <w:tl2br w:val="nil"/>
              <w:tr2bl w:val="nil"/>
            </w:tcBorders>
            <w:shd w:val="clear" w:color="auto" w:fill="auto"/>
            <w:tcMar>
              <w:top w:w="12" w:type="dxa"/>
              <w:left w:w="12" w:type="dxa"/>
              <w:right w:w="12" w:type="dxa"/>
            </w:tcMar>
            <w:vAlign w:val="center"/>
          </w:tcPr>
          <w:p w14:paraId="1E06DFA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32</w:t>
            </w:r>
          </w:p>
        </w:tc>
        <w:tc>
          <w:tcPr>
            <w:tcW w:w="295" w:type="pct"/>
            <w:tcBorders>
              <w:tl2br w:val="nil"/>
              <w:tr2bl w:val="nil"/>
            </w:tcBorders>
            <w:shd w:val="clear" w:color="auto" w:fill="auto"/>
            <w:tcMar>
              <w:top w:w="12" w:type="dxa"/>
              <w:left w:w="12" w:type="dxa"/>
              <w:right w:w="12" w:type="dxa"/>
            </w:tcMar>
            <w:vAlign w:val="center"/>
          </w:tcPr>
          <w:p w14:paraId="687EFE5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7884FB2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66168CE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63101B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DF6FB0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45FEC4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812D67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3421289004</w:t>
            </w:r>
          </w:p>
        </w:tc>
        <w:tc>
          <w:tcPr>
            <w:tcW w:w="1250" w:type="pct"/>
            <w:tcBorders>
              <w:tl2br w:val="nil"/>
              <w:tr2bl w:val="nil"/>
            </w:tcBorders>
            <w:shd w:val="clear" w:color="auto" w:fill="auto"/>
            <w:tcMar>
              <w:top w:w="12" w:type="dxa"/>
              <w:left w:w="12" w:type="dxa"/>
              <w:right w:w="12" w:type="dxa"/>
            </w:tcMar>
            <w:vAlign w:val="center"/>
          </w:tcPr>
          <w:p w14:paraId="1765CFE5">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大学体育（四）</w:t>
            </w:r>
          </w:p>
          <w:p w14:paraId="599A461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University Sports（IV）</w:t>
            </w:r>
          </w:p>
        </w:tc>
        <w:tc>
          <w:tcPr>
            <w:tcW w:w="306" w:type="pct"/>
            <w:tcBorders>
              <w:tl2br w:val="nil"/>
              <w:tr2bl w:val="nil"/>
            </w:tcBorders>
            <w:shd w:val="clear" w:color="auto" w:fill="auto"/>
            <w:tcMar>
              <w:top w:w="12" w:type="dxa"/>
              <w:left w:w="12" w:type="dxa"/>
              <w:right w:w="12" w:type="dxa"/>
            </w:tcMar>
            <w:vAlign w:val="center"/>
          </w:tcPr>
          <w:p w14:paraId="5A71D04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1</w:t>
            </w:r>
          </w:p>
        </w:tc>
        <w:tc>
          <w:tcPr>
            <w:tcW w:w="248" w:type="pct"/>
            <w:tcBorders>
              <w:tl2br w:val="nil"/>
              <w:tr2bl w:val="nil"/>
            </w:tcBorders>
            <w:shd w:val="clear" w:color="auto" w:fill="auto"/>
            <w:tcMar>
              <w:top w:w="12" w:type="dxa"/>
              <w:left w:w="12" w:type="dxa"/>
              <w:right w:w="12" w:type="dxa"/>
            </w:tcMar>
            <w:vAlign w:val="center"/>
          </w:tcPr>
          <w:p w14:paraId="01477ED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36</w:t>
            </w:r>
          </w:p>
        </w:tc>
        <w:tc>
          <w:tcPr>
            <w:tcW w:w="285" w:type="pct"/>
            <w:tcBorders>
              <w:tl2br w:val="nil"/>
              <w:tr2bl w:val="nil"/>
            </w:tcBorders>
            <w:shd w:val="clear" w:color="auto" w:fill="auto"/>
            <w:tcMar>
              <w:top w:w="12" w:type="dxa"/>
              <w:left w:w="12" w:type="dxa"/>
              <w:right w:w="12" w:type="dxa"/>
            </w:tcMar>
            <w:vAlign w:val="center"/>
          </w:tcPr>
          <w:p w14:paraId="2B75C2B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4</w:t>
            </w:r>
          </w:p>
        </w:tc>
        <w:tc>
          <w:tcPr>
            <w:tcW w:w="301" w:type="pct"/>
            <w:tcBorders>
              <w:tl2br w:val="nil"/>
              <w:tr2bl w:val="nil"/>
            </w:tcBorders>
            <w:shd w:val="clear" w:color="auto" w:fill="auto"/>
            <w:tcMar>
              <w:top w:w="12" w:type="dxa"/>
              <w:left w:w="12" w:type="dxa"/>
              <w:right w:w="12" w:type="dxa"/>
            </w:tcMar>
            <w:vAlign w:val="center"/>
          </w:tcPr>
          <w:p w14:paraId="12A2E25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32</w:t>
            </w:r>
          </w:p>
        </w:tc>
        <w:tc>
          <w:tcPr>
            <w:tcW w:w="295" w:type="pct"/>
            <w:tcBorders>
              <w:tl2br w:val="nil"/>
              <w:tr2bl w:val="nil"/>
            </w:tcBorders>
            <w:shd w:val="clear" w:color="auto" w:fill="auto"/>
            <w:tcMar>
              <w:top w:w="12" w:type="dxa"/>
              <w:left w:w="12" w:type="dxa"/>
              <w:right w:w="12" w:type="dxa"/>
            </w:tcMar>
            <w:vAlign w:val="center"/>
          </w:tcPr>
          <w:p w14:paraId="6CC1ACC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5809F4E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4</w:t>
            </w:r>
          </w:p>
        </w:tc>
        <w:tc>
          <w:tcPr>
            <w:tcW w:w="811" w:type="pct"/>
            <w:tcBorders>
              <w:tl2br w:val="nil"/>
              <w:tr2bl w:val="nil"/>
            </w:tcBorders>
            <w:shd w:val="clear" w:color="auto" w:fill="auto"/>
            <w:tcMar>
              <w:top w:w="12" w:type="dxa"/>
              <w:left w:w="12" w:type="dxa"/>
              <w:right w:w="12" w:type="dxa"/>
            </w:tcMar>
            <w:vAlign w:val="center"/>
          </w:tcPr>
          <w:p w14:paraId="73F09F3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6768C5D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A7C676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CF4BC2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A00E46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2021252002</w:t>
            </w:r>
          </w:p>
        </w:tc>
        <w:tc>
          <w:tcPr>
            <w:tcW w:w="1250" w:type="pct"/>
            <w:tcBorders>
              <w:tl2br w:val="nil"/>
              <w:tr2bl w:val="nil"/>
            </w:tcBorders>
            <w:shd w:val="clear" w:color="auto" w:fill="auto"/>
            <w:tcMar>
              <w:top w:w="12" w:type="dxa"/>
              <w:left w:w="12" w:type="dxa"/>
              <w:right w:w="12" w:type="dxa"/>
            </w:tcMar>
            <w:vAlign w:val="center"/>
          </w:tcPr>
          <w:p w14:paraId="3CBA0073">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信息技术与人工智能基础</w:t>
            </w:r>
          </w:p>
          <w:p w14:paraId="095B473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Fundamentals of Information Technology and Artificial Intelligence</w:t>
            </w:r>
          </w:p>
        </w:tc>
        <w:tc>
          <w:tcPr>
            <w:tcW w:w="306" w:type="pct"/>
            <w:tcBorders>
              <w:tl2br w:val="nil"/>
              <w:tr2bl w:val="nil"/>
            </w:tcBorders>
            <w:shd w:val="clear" w:color="auto" w:fill="auto"/>
            <w:tcMar>
              <w:top w:w="12" w:type="dxa"/>
              <w:left w:w="12" w:type="dxa"/>
              <w:right w:w="12" w:type="dxa"/>
            </w:tcMar>
            <w:vAlign w:val="center"/>
          </w:tcPr>
          <w:p w14:paraId="44035FB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1.5</w:t>
            </w:r>
          </w:p>
        </w:tc>
        <w:tc>
          <w:tcPr>
            <w:tcW w:w="248" w:type="pct"/>
            <w:tcBorders>
              <w:tl2br w:val="nil"/>
              <w:tr2bl w:val="nil"/>
            </w:tcBorders>
            <w:shd w:val="clear" w:color="auto" w:fill="auto"/>
            <w:tcMar>
              <w:top w:w="12" w:type="dxa"/>
              <w:left w:w="12" w:type="dxa"/>
              <w:right w:w="12" w:type="dxa"/>
            </w:tcMar>
            <w:vAlign w:val="center"/>
          </w:tcPr>
          <w:p w14:paraId="36E16209">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24</w:t>
            </w:r>
          </w:p>
        </w:tc>
        <w:tc>
          <w:tcPr>
            <w:tcW w:w="285" w:type="pct"/>
            <w:tcBorders>
              <w:tl2br w:val="nil"/>
              <w:tr2bl w:val="nil"/>
            </w:tcBorders>
            <w:shd w:val="clear" w:color="auto" w:fill="auto"/>
            <w:tcMar>
              <w:top w:w="12" w:type="dxa"/>
              <w:left w:w="12" w:type="dxa"/>
              <w:right w:w="12" w:type="dxa"/>
            </w:tcMar>
            <w:vAlign w:val="center"/>
          </w:tcPr>
          <w:p w14:paraId="7F6C37B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val="en-US" w:eastAsia="zh-CN" w:bidi="ar"/>
              </w:rPr>
              <w:t>14</w:t>
            </w:r>
          </w:p>
        </w:tc>
        <w:tc>
          <w:tcPr>
            <w:tcW w:w="301" w:type="pct"/>
            <w:tcBorders>
              <w:tl2br w:val="nil"/>
              <w:tr2bl w:val="nil"/>
            </w:tcBorders>
            <w:shd w:val="clear" w:color="auto" w:fill="auto"/>
            <w:tcMar>
              <w:top w:w="12" w:type="dxa"/>
              <w:left w:w="12" w:type="dxa"/>
              <w:right w:w="12" w:type="dxa"/>
            </w:tcMar>
            <w:vAlign w:val="center"/>
          </w:tcPr>
          <w:p w14:paraId="59B47323">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1</w:t>
            </w:r>
            <w:r>
              <w:rPr>
                <w:rFonts w:hint="eastAsia" w:ascii="Times New Roman" w:hAnsi="Times New Roman" w:cs="宋体"/>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6CE8F9D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0BDD3D0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4658333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0CF38E8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9FCC24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163A24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0512DF2">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52</w:t>
            </w:r>
            <w:r>
              <w:rPr>
                <w:rFonts w:hint="eastAsia" w:ascii="Times New Roman" w:hAnsi="Times New Roman" w:eastAsia="宋体" w:cs="Times New Roman"/>
                <w:bCs/>
                <w:color w:val="auto"/>
                <w:kern w:val="0"/>
                <w:sz w:val="17"/>
                <w:szCs w:val="17"/>
                <w:highlight w:val="none"/>
                <w:lang w:val="en-US" w:eastAsia="zh-CN" w:bidi="ar"/>
              </w:rPr>
              <w:t>2</w:t>
            </w:r>
            <w:r>
              <w:rPr>
                <w:rFonts w:hint="default" w:ascii="Times New Roman" w:hAnsi="Times New Roman" w:eastAsia="宋体" w:cs="Times New Roman"/>
                <w:bCs/>
                <w:color w:val="auto"/>
                <w:kern w:val="0"/>
                <w:sz w:val="17"/>
                <w:szCs w:val="17"/>
                <w:highlight w:val="none"/>
                <w:lang w:bidi="ar"/>
              </w:rPr>
              <w:t>128</w:t>
            </w:r>
            <w:r>
              <w:rPr>
                <w:rFonts w:hint="eastAsia" w:ascii="Times New Roman" w:hAnsi="Times New Roman" w:eastAsia="宋体" w:cs="Times New Roman"/>
                <w:bCs/>
                <w:color w:val="auto"/>
                <w:kern w:val="0"/>
                <w:sz w:val="17"/>
                <w:szCs w:val="17"/>
                <w:highlight w:val="none"/>
                <w:lang w:val="en-US" w:eastAsia="zh-CN" w:bidi="ar"/>
              </w:rPr>
              <w:t>8</w:t>
            </w:r>
            <w:r>
              <w:rPr>
                <w:rFonts w:hint="default" w:ascii="Times New Roman" w:hAnsi="Times New Roman" w:eastAsia="宋体" w:cs="Times New Roman"/>
                <w:bCs/>
                <w:color w:val="auto"/>
                <w:kern w:val="0"/>
                <w:sz w:val="17"/>
                <w:szCs w:val="17"/>
                <w:highlight w:val="none"/>
                <w:lang w:bidi="ar"/>
              </w:rPr>
              <w:t>00</w:t>
            </w:r>
            <w:r>
              <w:rPr>
                <w:rFonts w:hint="eastAsia" w:ascii="Times New Roman" w:hAnsi="Times New Roman" w:eastAsia="宋体" w:cs="Times New Roman"/>
                <w:bCs/>
                <w:color w:val="auto"/>
                <w:kern w:val="0"/>
                <w:sz w:val="17"/>
                <w:szCs w:val="17"/>
                <w:highlight w:val="none"/>
                <w:lang w:val="en-US" w:eastAsia="zh-CN" w:bidi="ar"/>
              </w:rPr>
              <w:t>3</w:t>
            </w:r>
          </w:p>
        </w:tc>
        <w:tc>
          <w:tcPr>
            <w:tcW w:w="1250" w:type="pct"/>
            <w:tcBorders>
              <w:tl2br w:val="nil"/>
              <w:tr2bl w:val="nil"/>
            </w:tcBorders>
            <w:shd w:val="clear" w:color="auto" w:fill="auto"/>
            <w:tcMar>
              <w:top w:w="12" w:type="dxa"/>
              <w:left w:w="12" w:type="dxa"/>
              <w:right w:w="12" w:type="dxa"/>
            </w:tcMar>
            <w:vAlign w:val="center"/>
          </w:tcPr>
          <w:p w14:paraId="4FB0C310">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大学生职业</w:t>
            </w:r>
            <w:r>
              <w:rPr>
                <w:rFonts w:hint="eastAsia" w:ascii="Times New Roman" w:hAnsi="Times New Roman" w:eastAsia="宋体" w:cs="Times New Roman"/>
                <w:bCs/>
                <w:kern w:val="0"/>
                <w:sz w:val="17"/>
                <w:szCs w:val="17"/>
                <w:lang w:val="en-US" w:eastAsia="zh-CN" w:bidi="ar"/>
              </w:rPr>
              <w:t>生涯规划</w:t>
            </w:r>
          </w:p>
          <w:p w14:paraId="477126C8">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Career Planning for College Students</w:t>
            </w:r>
          </w:p>
        </w:tc>
        <w:tc>
          <w:tcPr>
            <w:tcW w:w="306" w:type="pct"/>
            <w:tcBorders>
              <w:tl2br w:val="nil"/>
              <w:tr2bl w:val="nil"/>
            </w:tcBorders>
            <w:shd w:val="clear" w:color="auto" w:fill="auto"/>
            <w:tcMar>
              <w:top w:w="12" w:type="dxa"/>
              <w:left w:w="12" w:type="dxa"/>
              <w:right w:w="12" w:type="dxa"/>
            </w:tcMar>
            <w:vAlign w:val="center"/>
          </w:tcPr>
          <w:p w14:paraId="45FD0F79">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1</w:t>
            </w:r>
          </w:p>
        </w:tc>
        <w:tc>
          <w:tcPr>
            <w:tcW w:w="248" w:type="pct"/>
            <w:tcBorders>
              <w:tl2br w:val="nil"/>
              <w:tr2bl w:val="nil"/>
            </w:tcBorders>
            <w:shd w:val="clear" w:color="auto" w:fill="auto"/>
            <w:tcMar>
              <w:top w:w="12" w:type="dxa"/>
              <w:left w:w="12" w:type="dxa"/>
              <w:right w:w="12" w:type="dxa"/>
            </w:tcMar>
            <w:vAlign w:val="center"/>
          </w:tcPr>
          <w:p w14:paraId="22FF4C7C">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18</w:t>
            </w:r>
          </w:p>
        </w:tc>
        <w:tc>
          <w:tcPr>
            <w:tcW w:w="285" w:type="pct"/>
            <w:tcBorders>
              <w:tl2br w:val="nil"/>
              <w:tr2bl w:val="nil"/>
            </w:tcBorders>
            <w:shd w:val="clear" w:color="auto" w:fill="auto"/>
            <w:tcMar>
              <w:top w:w="12" w:type="dxa"/>
              <w:left w:w="12" w:type="dxa"/>
              <w:right w:w="12" w:type="dxa"/>
            </w:tcMar>
            <w:vAlign w:val="center"/>
          </w:tcPr>
          <w:p w14:paraId="47B71DBC">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1</w:t>
            </w:r>
            <w:r>
              <w:rPr>
                <w:rFonts w:hint="default" w:ascii="Times New Roman" w:hAnsi="Times New Roman" w:eastAsia="宋体" w:cs="Times New Roman"/>
                <w:bCs/>
                <w:color w:val="auto"/>
                <w:kern w:val="0"/>
                <w:sz w:val="17"/>
                <w:szCs w:val="17"/>
                <w:highlight w:val="none"/>
                <w:lang w:bidi="ar"/>
              </w:rPr>
              <w:t>0</w:t>
            </w:r>
          </w:p>
        </w:tc>
        <w:tc>
          <w:tcPr>
            <w:tcW w:w="301" w:type="pct"/>
            <w:tcBorders>
              <w:tl2br w:val="nil"/>
              <w:tr2bl w:val="nil"/>
            </w:tcBorders>
            <w:shd w:val="clear" w:color="auto" w:fill="auto"/>
            <w:noWrap/>
            <w:tcMar>
              <w:top w:w="12" w:type="dxa"/>
              <w:left w:w="12" w:type="dxa"/>
              <w:right w:w="12" w:type="dxa"/>
            </w:tcMar>
            <w:vAlign w:val="center"/>
          </w:tcPr>
          <w:p w14:paraId="5CD4F12C">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8</w:t>
            </w:r>
          </w:p>
        </w:tc>
        <w:tc>
          <w:tcPr>
            <w:tcW w:w="295" w:type="pct"/>
            <w:tcBorders>
              <w:tl2br w:val="nil"/>
              <w:tr2bl w:val="nil"/>
            </w:tcBorders>
            <w:shd w:val="clear" w:color="auto" w:fill="auto"/>
            <w:tcMar>
              <w:top w:w="12" w:type="dxa"/>
              <w:left w:w="12" w:type="dxa"/>
              <w:right w:w="12" w:type="dxa"/>
            </w:tcMar>
            <w:vAlign w:val="center"/>
          </w:tcPr>
          <w:p w14:paraId="030DDA4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7F49303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0CD4C73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2944A2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3056FB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228B4A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B7D8775">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52</w:t>
            </w:r>
            <w:r>
              <w:rPr>
                <w:rFonts w:hint="eastAsia" w:ascii="Times New Roman" w:hAnsi="Times New Roman" w:eastAsia="宋体" w:cs="Times New Roman"/>
                <w:bCs/>
                <w:color w:val="auto"/>
                <w:kern w:val="0"/>
                <w:sz w:val="17"/>
                <w:szCs w:val="17"/>
                <w:highlight w:val="none"/>
                <w:lang w:val="en-US" w:eastAsia="zh-CN" w:bidi="ar"/>
              </w:rPr>
              <w:t>2</w:t>
            </w:r>
            <w:r>
              <w:rPr>
                <w:rFonts w:hint="default" w:ascii="Times New Roman" w:hAnsi="Times New Roman" w:eastAsia="宋体" w:cs="Times New Roman"/>
                <w:bCs/>
                <w:color w:val="auto"/>
                <w:kern w:val="0"/>
                <w:sz w:val="17"/>
                <w:szCs w:val="17"/>
                <w:highlight w:val="none"/>
                <w:lang w:bidi="ar"/>
              </w:rPr>
              <w:t>128</w:t>
            </w:r>
            <w:r>
              <w:rPr>
                <w:rFonts w:hint="eastAsia" w:ascii="Times New Roman" w:hAnsi="Times New Roman" w:eastAsia="宋体" w:cs="Times New Roman"/>
                <w:bCs/>
                <w:color w:val="auto"/>
                <w:kern w:val="0"/>
                <w:sz w:val="17"/>
                <w:szCs w:val="17"/>
                <w:highlight w:val="none"/>
                <w:lang w:val="en-US" w:eastAsia="zh-CN" w:bidi="ar"/>
              </w:rPr>
              <w:t>8</w:t>
            </w:r>
            <w:r>
              <w:rPr>
                <w:rFonts w:hint="default" w:ascii="Times New Roman" w:hAnsi="Times New Roman" w:eastAsia="宋体" w:cs="Times New Roman"/>
                <w:bCs/>
                <w:color w:val="auto"/>
                <w:kern w:val="0"/>
                <w:sz w:val="17"/>
                <w:szCs w:val="17"/>
                <w:highlight w:val="none"/>
                <w:lang w:bidi="ar"/>
              </w:rPr>
              <w:t>002</w:t>
            </w:r>
          </w:p>
        </w:tc>
        <w:tc>
          <w:tcPr>
            <w:tcW w:w="1250" w:type="pct"/>
            <w:tcBorders>
              <w:tl2br w:val="nil"/>
              <w:tr2bl w:val="nil"/>
            </w:tcBorders>
            <w:shd w:val="clear" w:color="auto" w:fill="auto"/>
            <w:tcMar>
              <w:top w:w="12" w:type="dxa"/>
              <w:left w:w="12" w:type="dxa"/>
              <w:right w:w="12" w:type="dxa"/>
            </w:tcMar>
            <w:vAlign w:val="center"/>
          </w:tcPr>
          <w:p w14:paraId="0EB3E383">
            <w:pPr>
              <w:adjustRightInd w:val="0"/>
              <w:spacing w:line="200" w:lineRule="exact"/>
              <w:jc w:val="left"/>
              <w:rPr>
                <w:rFonts w:hint="default" w:ascii="Times New Roman" w:hAnsi="Times New Roman" w:eastAsia="宋体" w:cs="Times New Roman"/>
                <w:bCs/>
                <w:kern w:val="0"/>
                <w:sz w:val="17"/>
                <w:szCs w:val="17"/>
                <w:lang w:bidi="ar"/>
              </w:rPr>
            </w:pPr>
            <w:r>
              <w:rPr>
                <w:rFonts w:hint="default" w:ascii="Times New Roman" w:hAnsi="Times New Roman" w:eastAsia="宋体" w:cs="Times New Roman"/>
                <w:bCs/>
                <w:kern w:val="0"/>
                <w:sz w:val="17"/>
                <w:szCs w:val="17"/>
                <w:lang w:bidi="ar"/>
              </w:rPr>
              <w:t>创业基础</w:t>
            </w:r>
          </w:p>
          <w:p w14:paraId="455DA8B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College Students'Entrepreneurial Foundation</w:t>
            </w:r>
          </w:p>
        </w:tc>
        <w:tc>
          <w:tcPr>
            <w:tcW w:w="306" w:type="pct"/>
            <w:tcBorders>
              <w:tl2br w:val="nil"/>
              <w:tr2bl w:val="nil"/>
            </w:tcBorders>
            <w:shd w:val="clear" w:color="auto" w:fill="auto"/>
            <w:tcMar>
              <w:top w:w="12" w:type="dxa"/>
              <w:left w:w="12" w:type="dxa"/>
              <w:right w:w="12" w:type="dxa"/>
            </w:tcMar>
            <w:vAlign w:val="center"/>
          </w:tcPr>
          <w:p w14:paraId="5B36176D">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2</w:t>
            </w:r>
          </w:p>
        </w:tc>
        <w:tc>
          <w:tcPr>
            <w:tcW w:w="248" w:type="pct"/>
            <w:tcBorders>
              <w:tl2br w:val="nil"/>
              <w:tr2bl w:val="nil"/>
            </w:tcBorders>
            <w:shd w:val="clear" w:color="auto" w:fill="auto"/>
            <w:tcMar>
              <w:top w:w="12" w:type="dxa"/>
              <w:left w:w="12" w:type="dxa"/>
              <w:right w:w="12" w:type="dxa"/>
            </w:tcMar>
            <w:vAlign w:val="center"/>
          </w:tcPr>
          <w:p w14:paraId="0E35E4FC">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32</w:t>
            </w:r>
          </w:p>
        </w:tc>
        <w:tc>
          <w:tcPr>
            <w:tcW w:w="285" w:type="pct"/>
            <w:tcBorders>
              <w:tl2br w:val="nil"/>
              <w:tr2bl w:val="nil"/>
            </w:tcBorders>
            <w:shd w:val="clear" w:color="auto" w:fill="auto"/>
            <w:tcMar>
              <w:top w:w="12" w:type="dxa"/>
              <w:left w:w="12" w:type="dxa"/>
              <w:right w:w="12" w:type="dxa"/>
            </w:tcMar>
            <w:vAlign w:val="center"/>
          </w:tcPr>
          <w:p w14:paraId="25B638B9">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16</w:t>
            </w:r>
          </w:p>
        </w:tc>
        <w:tc>
          <w:tcPr>
            <w:tcW w:w="301" w:type="pct"/>
            <w:tcBorders>
              <w:tl2br w:val="nil"/>
              <w:tr2bl w:val="nil"/>
            </w:tcBorders>
            <w:shd w:val="clear" w:color="auto" w:fill="auto"/>
            <w:tcMar>
              <w:top w:w="12" w:type="dxa"/>
              <w:left w:w="12" w:type="dxa"/>
              <w:right w:w="12" w:type="dxa"/>
            </w:tcMar>
            <w:vAlign w:val="center"/>
          </w:tcPr>
          <w:p w14:paraId="632388E8">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16</w:t>
            </w:r>
          </w:p>
        </w:tc>
        <w:tc>
          <w:tcPr>
            <w:tcW w:w="295" w:type="pct"/>
            <w:tcBorders>
              <w:tl2br w:val="nil"/>
              <w:tr2bl w:val="nil"/>
            </w:tcBorders>
            <w:shd w:val="clear" w:color="auto" w:fill="auto"/>
            <w:tcMar>
              <w:top w:w="12" w:type="dxa"/>
              <w:left w:w="12" w:type="dxa"/>
              <w:right w:w="12" w:type="dxa"/>
            </w:tcMar>
            <w:vAlign w:val="center"/>
          </w:tcPr>
          <w:p w14:paraId="529FE9E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06C7D66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1207DB4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02DE347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7708F2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480833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C53EA38">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bidi="ar"/>
              </w:rPr>
              <w:t>52</w:t>
            </w:r>
            <w:r>
              <w:rPr>
                <w:rFonts w:hint="eastAsia" w:ascii="Times New Roman" w:hAnsi="Times New Roman" w:eastAsia="宋体" w:cs="Times New Roman"/>
                <w:bCs/>
                <w:color w:val="auto"/>
                <w:kern w:val="0"/>
                <w:sz w:val="17"/>
                <w:szCs w:val="17"/>
                <w:highlight w:val="none"/>
                <w:lang w:val="en-US" w:eastAsia="zh-CN" w:bidi="ar"/>
              </w:rPr>
              <w:t>2</w:t>
            </w:r>
            <w:r>
              <w:rPr>
                <w:rFonts w:hint="default" w:ascii="Times New Roman" w:hAnsi="Times New Roman" w:eastAsia="宋体" w:cs="Times New Roman"/>
                <w:bCs/>
                <w:color w:val="auto"/>
                <w:kern w:val="0"/>
                <w:sz w:val="17"/>
                <w:szCs w:val="17"/>
                <w:highlight w:val="none"/>
                <w:lang w:bidi="ar"/>
              </w:rPr>
              <w:t>128</w:t>
            </w:r>
            <w:r>
              <w:rPr>
                <w:rFonts w:hint="eastAsia" w:ascii="Times New Roman" w:hAnsi="Times New Roman" w:eastAsia="宋体" w:cs="Times New Roman"/>
                <w:bCs/>
                <w:color w:val="auto"/>
                <w:kern w:val="0"/>
                <w:sz w:val="17"/>
                <w:szCs w:val="17"/>
                <w:highlight w:val="none"/>
                <w:lang w:val="en-US" w:eastAsia="zh-CN" w:bidi="ar"/>
              </w:rPr>
              <w:t>8</w:t>
            </w:r>
            <w:r>
              <w:rPr>
                <w:rFonts w:hint="default" w:ascii="Times New Roman" w:hAnsi="Times New Roman" w:eastAsia="宋体" w:cs="Times New Roman"/>
                <w:bCs/>
                <w:color w:val="auto"/>
                <w:kern w:val="0"/>
                <w:sz w:val="17"/>
                <w:szCs w:val="17"/>
                <w:highlight w:val="none"/>
                <w:lang w:bidi="ar"/>
              </w:rPr>
              <w:t>00</w:t>
            </w:r>
            <w:r>
              <w:rPr>
                <w:rFonts w:hint="eastAsia" w:ascii="Times New Roman" w:hAnsi="Times New Roman" w:eastAsia="宋体" w:cs="Times New Roman"/>
                <w:bCs/>
                <w:color w:val="auto"/>
                <w:kern w:val="0"/>
                <w:sz w:val="17"/>
                <w:szCs w:val="17"/>
                <w:highlight w:val="none"/>
                <w:lang w:val="en-US" w:eastAsia="zh-CN" w:bidi="ar"/>
              </w:rPr>
              <w:t>4</w:t>
            </w:r>
          </w:p>
        </w:tc>
        <w:tc>
          <w:tcPr>
            <w:tcW w:w="1250" w:type="pct"/>
            <w:tcBorders>
              <w:tl2br w:val="nil"/>
              <w:tr2bl w:val="nil"/>
            </w:tcBorders>
            <w:shd w:val="clear" w:color="auto" w:fill="auto"/>
            <w:tcMar>
              <w:top w:w="12" w:type="dxa"/>
              <w:left w:w="12" w:type="dxa"/>
              <w:right w:w="12" w:type="dxa"/>
            </w:tcMar>
            <w:vAlign w:val="center"/>
          </w:tcPr>
          <w:p w14:paraId="7443040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就业指导</w:t>
            </w:r>
          </w:p>
          <w:p w14:paraId="40DB974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Employment Guidance</w:t>
            </w:r>
          </w:p>
        </w:tc>
        <w:tc>
          <w:tcPr>
            <w:tcW w:w="306" w:type="pct"/>
            <w:tcBorders>
              <w:tl2br w:val="nil"/>
              <w:tr2bl w:val="nil"/>
            </w:tcBorders>
            <w:shd w:val="clear" w:color="auto" w:fill="auto"/>
            <w:tcMar>
              <w:top w:w="12" w:type="dxa"/>
              <w:left w:w="12" w:type="dxa"/>
              <w:right w:w="12" w:type="dxa"/>
            </w:tcMar>
            <w:vAlign w:val="center"/>
          </w:tcPr>
          <w:p w14:paraId="363E5658">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1</w:t>
            </w:r>
          </w:p>
        </w:tc>
        <w:tc>
          <w:tcPr>
            <w:tcW w:w="248" w:type="pct"/>
            <w:tcBorders>
              <w:tl2br w:val="nil"/>
              <w:tr2bl w:val="nil"/>
            </w:tcBorders>
            <w:shd w:val="clear" w:color="auto" w:fill="auto"/>
            <w:tcMar>
              <w:top w:w="12" w:type="dxa"/>
              <w:left w:w="12" w:type="dxa"/>
              <w:right w:w="12" w:type="dxa"/>
            </w:tcMar>
            <w:vAlign w:val="center"/>
          </w:tcPr>
          <w:p w14:paraId="66503EA5">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20</w:t>
            </w:r>
          </w:p>
        </w:tc>
        <w:tc>
          <w:tcPr>
            <w:tcW w:w="285" w:type="pct"/>
            <w:tcBorders>
              <w:tl2br w:val="nil"/>
              <w:tr2bl w:val="nil"/>
            </w:tcBorders>
            <w:shd w:val="clear" w:color="auto" w:fill="auto"/>
            <w:tcMar>
              <w:top w:w="12" w:type="dxa"/>
              <w:left w:w="12" w:type="dxa"/>
              <w:right w:w="12" w:type="dxa"/>
            </w:tcMar>
            <w:vAlign w:val="center"/>
          </w:tcPr>
          <w:p w14:paraId="6874B67D">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12</w:t>
            </w:r>
          </w:p>
        </w:tc>
        <w:tc>
          <w:tcPr>
            <w:tcW w:w="301" w:type="pct"/>
            <w:tcBorders>
              <w:tl2br w:val="nil"/>
              <w:tr2bl w:val="nil"/>
            </w:tcBorders>
            <w:shd w:val="clear" w:color="auto" w:fill="auto"/>
            <w:tcMar>
              <w:top w:w="12" w:type="dxa"/>
              <w:left w:w="12" w:type="dxa"/>
              <w:right w:w="12" w:type="dxa"/>
            </w:tcMar>
            <w:vAlign w:val="center"/>
          </w:tcPr>
          <w:p w14:paraId="2E5E37D3">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auto"/>
                <w:kern w:val="0"/>
                <w:sz w:val="17"/>
                <w:szCs w:val="17"/>
                <w:highlight w:val="none"/>
                <w:lang w:val="en-US" w:eastAsia="zh-CN" w:bidi="ar"/>
              </w:rPr>
              <w:t>8</w:t>
            </w:r>
          </w:p>
        </w:tc>
        <w:tc>
          <w:tcPr>
            <w:tcW w:w="295" w:type="pct"/>
            <w:tcBorders>
              <w:tl2br w:val="nil"/>
              <w:tr2bl w:val="nil"/>
            </w:tcBorders>
            <w:shd w:val="clear" w:color="auto" w:fill="auto"/>
            <w:tcMar>
              <w:top w:w="12" w:type="dxa"/>
              <w:left w:w="12" w:type="dxa"/>
              <w:right w:w="12" w:type="dxa"/>
            </w:tcMar>
            <w:vAlign w:val="center"/>
          </w:tcPr>
          <w:p w14:paraId="10331D8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1BC37AC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018C01E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109366C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7C2E9D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E06D8F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D3AB83C">
            <w:pPr>
              <w:keepNext w:val="0"/>
              <w:keepLines w:val="0"/>
              <w:pageBreakBefore w:val="0"/>
              <w:kinsoku/>
              <w:wordWrap/>
              <w:overflowPunct/>
              <w:topLinePunct w:val="0"/>
              <w:autoSpaceDE/>
              <w:autoSpaceDN/>
              <w:bidi w:val="0"/>
              <w:adjustRightInd w:val="0"/>
              <w:snapToGrid/>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bCs/>
                <w:color w:val="auto"/>
                <w:kern w:val="0"/>
                <w:sz w:val="17"/>
                <w:szCs w:val="17"/>
                <w:highlight w:val="none"/>
                <w:lang w:val="en-US" w:eastAsia="zh-CN" w:bidi="ar"/>
              </w:rPr>
              <w:t>32</w:t>
            </w:r>
            <w:r>
              <w:rPr>
                <w:rFonts w:hint="eastAsia" w:ascii="Times New Roman" w:hAnsi="Times New Roman" w:eastAsia="宋体" w:cs="Times New Roman"/>
                <w:bCs/>
                <w:color w:val="auto"/>
                <w:kern w:val="0"/>
                <w:sz w:val="17"/>
                <w:szCs w:val="17"/>
                <w:highlight w:val="none"/>
                <w:lang w:val="en-US" w:eastAsia="zh-CN" w:bidi="ar"/>
              </w:rPr>
              <w:t>2</w:t>
            </w:r>
            <w:r>
              <w:rPr>
                <w:rFonts w:hint="default" w:ascii="Times New Roman" w:hAnsi="Times New Roman" w:eastAsia="宋体" w:cs="Times New Roman"/>
                <w:bCs/>
                <w:color w:val="auto"/>
                <w:kern w:val="0"/>
                <w:sz w:val="17"/>
                <w:szCs w:val="17"/>
                <w:highlight w:val="none"/>
                <w:lang w:val="en-US" w:eastAsia="zh-CN" w:bidi="ar"/>
              </w:rPr>
              <w:t>116200</w:t>
            </w:r>
            <w:r>
              <w:rPr>
                <w:rFonts w:hint="eastAsia" w:ascii="Times New Roman" w:hAnsi="Times New Roman" w:eastAsia="宋体" w:cs="Times New Roman"/>
                <w:bCs/>
                <w:color w:val="auto"/>
                <w:kern w:val="0"/>
                <w:sz w:val="17"/>
                <w:szCs w:val="17"/>
                <w:highlight w:val="none"/>
                <w:lang w:val="en-US" w:eastAsia="zh-CN" w:bidi="ar"/>
              </w:rPr>
              <w:t>2</w:t>
            </w:r>
          </w:p>
        </w:tc>
        <w:tc>
          <w:tcPr>
            <w:tcW w:w="1250" w:type="pct"/>
            <w:tcBorders>
              <w:tl2br w:val="nil"/>
              <w:tr2bl w:val="nil"/>
            </w:tcBorders>
            <w:shd w:val="clear" w:color="auto" w:fill="auto"/>
            <w:tcMar>
              <w:top w:w="12" w:type="dxa"/>
              <w:left w:w="12" w:type="dxa"/>
              <w:right w:w="12" w:type="dxa"/>
            </w:tcMar>
            <w:vAlign w:val="center"/>
          </w:tcPr>
          <w:p w14:paraId="13A10DBF">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国家安全教育</w:t>
            </w:r>
          </w:p>
          <w:p w14:paraId="27E40762">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National Security Education</w:t>
            </w:r>
          </w:p>
        </w:tc>
        <w:tc>
          <w:tcPr>
            <w:tcW w:w="306" w:type="pct"/>
            <w:tcBorders>
              <w:tl2br w:val="nil"/>
              <w:tr2bl w:val="nil"/>
            </w:tcBorders>
            <w:shd w:val="clear" w:color="auto" w:fill="auto"/>
            <w:tcMar>
              <w:top w:w="12" w:type="dxa"/>
              <w:left w:w="12" w:type="dxa"/>
              <w:right w:w="12" w:type="dxa"/>
            </w:tcMar>
            <w:vAlign w:val="center"/>
          </w:tcPr>
          <w:p w14:paraId="02A27CB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bidi="ar"/>
              </w:rPr>
              <w:t>1</w:t>
            </w:r>
          </w:p>
        </w:tc>
        <w:tc>
          <w:tcPr>
            <w:tcW w:w="248" w:type="pct"/>
            <w:tcBorders>
              <w:tl2br w:val="nil"/>
              <w:tr2bl w:val="nil"/>
            </w:tcBorders>
            <w:shd w:val="clear" w:color="auto" w:fill="auto"/>
            <w:tcMar>
              <w:top w:w="12" w:type="dxa"/>
              <w:left w:w="12" w:type="dxa"/>
              <w:right w:w="12" w:type="dxa"/>
            </w:tcMar>
            <w:vAlign w:val="center"/>
          </w:tcPr>
          <w:p w14:paraId="4E789A1B">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bidi="ar"/>
              </w:rPr>
              <w:t>16</w:t>
            </w:r>
          </w:p>
        </w:tc>
        <w:tc>
          <w:tcPr>
            <w:tcW w:w="285" w:type="pct"/>
            <w:tcBorders>
              <w:tl2br w:val="nil"/>
              <w:tr2bl w:val="nil"/>
            </w:tcBorders>
            <w:shd w:val="clear" w:color="auto" w:fill="auto"/>
            <w:tcMar>
              <w:top w:w="12" w:type="dxa"/>
              <w:left w:w="12" w:type="dxa"/>
              <w:right w:w="12" w:type="dxa"/>
            </w:tcMar>
            <w:vAlign w:val="center"/>
          </w:tcPr>
          <w:p w14:paraId="6EE72652">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Cs/>
                <w:color w:val="000000"/>
                <w:kern w:val="0"/>
                <w:sz w:val="17"/>
                <w:szCs w:val="17"/>
                <w:highlight w:val="none"/>
                <w:lang w:bidi="ar"/>
              </w:rPr>
              <w:t>16</w:t>
            </w:r>
          </w:p>
        </w:tc>
        <w:tc>
          <w:tcPr>
            <w:tcW w:w="301" w:type="pct"/>
            <w:tcBorders>
              <w:tl2br w:val="nil"/>
              <w:tr2bl w:val="nil"/>
            </w:tcBorders>
            <w:shd w:val="clear" w:color="auto" w:fill="auto"/>
            <w:tcMar>
              <w:top w:w="12" w:type="dxa"/>
              <w:left w:w="12" w:type="dxa"/>
              <w:right w:w="12" w:type="dxa"/>
            </w:tcMar>
            <w:vAlign w:val="center"/>
          </w:tcPr>
          <w:p w14:paraId="5C04034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6AFD02D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74AF89D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6EB31EB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71C649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77CFD1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5E90C7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F626DCC">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3221219001</w:t>
            </w:r>
          </w:p>
        </w:tc>
        <w:tc>
          <w:tcPr>
            <w:tcW w:w="1250" w:type="pct"/>
            <w:tcBorders>
              <w:tl2br w:val="nil"/>
              <w:tr2bl w:val="nil"/>
            </w:tcBorders>
            <w:shd w:val="clear" w:color="auto" w:fill="auto"/>
            <w:tcMar>
              <w:top w:w="12" w:type="dxa"/>
              <w:left w:w="12" w:type="dxa"/>
              <w:right w:w="12" w:type="dxa"/>
            </w:tcMar>
            <w:vAlign w:val="center"/>
          </w:tcPr>
          <w:p w14:paraId="407C1A4B">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大学生心理健康教育</w:t>
            </w:r>
          </w:p>
          <w:p w14:paraId="3CDC88D8">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Psychological Health Education of College Students</w:t>
            </w:r>
          </w:p>
        </w:tc>
        <w:tc>
          <w:tcPr>
            <w:tcW w:w="306" w:type="pct"/>
            <w:tcBorders>
              <w:tl2br w:val="nil"/>
              <w:tr2bl w:val="nil"/>
            </w:tcBorders>
            <w:shd w:val="clear" w:color="auto" w:fill="auto"/>
            <w:tcMar>
              <w:top w:w="12" w:type="dxa"/>
              <w:left w:w="12" w:type="dxa"/>
              <w:right w:w="12" w:type="dxa"/>
            </w:tcMar>
            <w:vAlign w:val="center"/>
          </w:tcPr>
          <w:p w14:paraId="7C006EE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2</w:t>
            </w:r>
          </w:p>
        </w:tc>
        <w:tc>
          <w:tcPr>
            <w:tcW w:w="248" w:type="pct"/>
            <w:tcBorders>
              <w:tl2br w:val="nil"/>
              <w:tr2bl w:val="nil"/>
            </w:tcBorders>
            <w:shd w:val="clear" w:color="auto" w:fill="auto"/>
            <w:tcMar>
              <w:top w:w="12" w:type="dxa"/>
              <w:left w:w="12" w:type="dxa"/>
              <w:right w:w="12" w:type="dxa"/>
            </w:tcMar>
            <w:vAlign w:val="center"/>
          </w:tcPr>
          <w:p w14:paraId="5323553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32</w:t>
            </w:r>
          </w:p>
        </w:tc>
        <w:tc>
          <w:tcPr>
            <w:tcW w:w="285" w:type="pct"/>
            <w:tcBorders>
              <w:tl2br w:val="nil"/>
              <w:tr2bl w:val="nil"/>
            </w:tcBorders>
            <w:shd w:val="clear" w:color="auto" w:fill="auto"/>
            <w:tcMar>
              <w:top w:w="12" w:type="dxa"/>
              <w:left w:w="12" w:type="dxa"/>
              <w:right w:w="12" w:type="dxa"/>
            </w:tcMar>
            <w:vAlign w:val="center"/>
          </w:tcPr>
          <w:p w14:paraId="40BDE53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bCs/>
                <w:color w:val="000000"/>
                <w:kern w:val="0"/>
                <w:sz w:val="17"/>
                <w:szCs w:val="17"/>
                <w:highlight w:val="none"/>
                <w:lang w:bidi="ar"/>
              </w:rPr>
              <w:t>32</w:t>
            </w:r>
          </w:p>
        </w:tc>
        <w:tc>
          <w:tcPr>
            <w:tcW w:w="301" w:type="pct"/>
            <w:tcBorders>
              <w:tl2br w:val="nil"/>
              <w:tr2bl w:val="nil"/>
            </w:tcBorders>
            <w:shd w:val="clear" w:color="auto" w:fill="auto"/>
            <w:tcMar>
              <w:top w:w="12" w:type="dxa"/>
              <w:left w:w="12" w:type="dxa"/>
              <w:right w:w="12" w:type="dxa"/>
            </w:tcMar>
            <w:vAlign w:val="center"/>
          </w:tcPr>
          <w:p w14:paraId="2C71D266">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0157235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2561009A">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0824E2C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4910A9E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CFE3DF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8CEA93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F3BC910">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3221484001</w:t>
            </w:r>
          </w:p>
        </w:tc>
        <w:tc>
          <w:tcPr>
            <w:tcW w:w="1250" w:type="pct"/>
            <w:tcBorders>
              <w:tl2br w:val="nil"/>
              <w:tr2bl w:val="nil"/>
            </w:tcBorders>
            <w:shd w:val="clear" w:color="auto" w:fill="auto"/>
            <w:tcMar>
              <w:top w:w="12" w:type="dxa"/>
              <w:left w:w="12" w:type="dxa"/>
              <w:right w:w="12" w:type="dxa"/>
            </w:tcMar>
            <w:vAlign w:val="center"/>
          </w:tcPr>
          <w:p w14:paraId="211E452E">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劳动教育</w:t>
            </w:r>
          </w:p>
          <w:p w14:paraId="3206AFE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bidi="ar"/>
              </w:rPr>
              <w:t>Labor Education</w:t>
            </w:r>
          </w:p>
        </w:tc>
        <w:tc>
          <w:tcPr>
            <w:tcW w:w="306" w:type="pct"/>
            <w:tcBorders>
              <w:tl2br w:val="nil"/>
              <w:tr2bl w:val="nil"/>
            </w:tcBorders>
            <w:shd w:val="clear" w:color="auto" w:fill="auto"/>
            <w:tcMar>
              <w:top w:w="12" w:type="dxa"/>
              <w:left w:w="12" w:type="dxa"/>
              <w:right w:w="12" w:type="dxa"/>
            </w:tcMar>
            <w:vAlign w:val="center"/>
          </w:tcPr>
          <w:p w14:paraId="7E7CAD0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1</w:t>
            </w:r>
          </w:p>
        </w:tc>
        <w:tc>
          <w:tcPr>
            <w:tcW w:w="248" w:type="pct"/>
            <w:tcBorders>
              <w:tl2br w:val="nil"/>
              <w:tr2bl w:val="nil"/>
            </w:tcBorders>
            <w:shd w:val="clear" w:color="auto" w:fill="auto"/>
            <w:tcMar>
              <w:top w:w="12" w:type="dxa"/>
              <w:left w:w="12" w:type="dxa"/>
              <w:right w:w="12" w:type="dxa"/>
            </w:tcMar>
            <w:vAlign w:val="center"/>
          </w:tcPr>
          <w:p w14:paraId="33FDD0F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16</w:t>
            </w:r>
          </w:p>
        </w:tc>
        <w:tc>
          <w:tcPr>
            <w:tcW w:w="285" w:type="pct"/>
            <w:tcBorders>
              <w:tl2br w:val="nil"/>
              <w:tr2bl w:val="nil"/>
            </w:tcBorders>
            <w:shd w:val="clear" w:color="auto" w:fill="auto"/>
            <w:tcMar>
              <w:top w:w="12" w:type="dxa"/>
              <w:left w:w="12" w:type="dxa"/>
              <w:right w:w="12" w:type="dxa"/>
            </w:tcMar>
            <w:vAlign w:val="center"/>
          </w:tcPr>
          <w:p w14:paraId="69ED23CF">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cs="宋体"/>
                <w:bCs/>
                <w:kern w:val="0"/>
                <w:sz w:val="17"/>
                <w:szCs w:val="17"/>
                <w:highlight w:val="none"/>
              </w:rPr>
              <w:t>8</w:t>
            </w:r>
          </w:p>
        </w:tc>
        <w:tc>
          <w:tcPr>
            <w:tcW w:w="301" w:type="pct"/>
            <w:tcBorders>
              <w:tl2br w:val="nil"/>
              <w:tr2bl w:val="nil"/>
            </w:tcBorders>
            <w:shd w:val="clear" w:color="auto" w:fill="auto"/>
            <w:tcMar>
              <w:top w:w="12" w:type="dxa"/>
              <w:left w:w="12" w:type="dxa"/>
              <w:right w:w="12" w:type="dxa"/>
            </w:tcMar>
            <w:vAlign w:val="center"/>
          </w:tcPr>
          <w:p w14:paraId="123E4851">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kern w:val="0"/>
                <w:sz w:val="17"/>
                <w:szCs w:val="17"/>
                <w:highlight w:val="none"/>
              </w:rPr>
              <w:t>8</w:t>
            </w:r>
          </w:p>
        </w:tc>
        <w:tc>
          <w:tcPr>
            <w:tcW w:w="295" w:type="pct"/>
            <w:tcBorders>
              <w:tl2br w:val="nil"/>
              <w:tr2bl w:val="nil"/>
            </w:tcBorders>
            <w:shd w:val="clear" w:color="auto" w:fill="auto"/>
            <w:tcMar>
              <w:top w:w="12" w:type="dxa"/>
              <w:left w:w="12" w:type="dxa"/>
              <w:right w:w="12" w:type="dxa"/>
            </w:tcMar>
            <w:vAlign w:val="center"/>
          </w:tcPr>
          <w:p w14:paraId="68F6E3E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3CF1D404">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6BEA2D9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33FB5E4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E6F577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E53CB5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568A1C1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3C653CDA">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43.5</w:t>
            </w:r>
          </w:p>
        </w:tc>
        <w:tc>
          <w:tcPr>
            <w:tcW w:w="248" w:type="pct"/>
            <w:tcBorders>
              <w:tl2br w:val="nil"/>
              <w:tr2bl w:val="nil"/>
            </w:tcBorders>
            <w:shd w:val="clear" w:color="auto" w:fill="auto"/>
            <w:tcMar>
              <w:top w:w="12" w:type="dxa"/>
              <w:left w:w="12" w:type="dxa"/>
              <w:right w:w="12" w:type="dxa"/>
            </w:tcMar>
            <w:vAlign w:val="center"/>
          </w:tcPr>
          <w:p w14:paraId="593032ED">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876</w:t>
            </w:r>
          </w:p>
        </w:tc>
        <w:tc>
          <w:tcPr>
            <w:tcW w:w="285" w:type="pct"/>
            <w:tcBorders>
              <w:tl2br w:val="nil"/>
              <w:tr2bl w:val="nil"/>
            </w:tcBorders>
            <w:shd w:val="clear" w:color="auto" w:fill="auto"/>
            <w:tcMar>
              <w:top w:w="12" w:type="dxa"/>
              <w:left w:w="12" w:type="dxa"/>
              <w:right w:w="12" w:type="dxa"/>
            </w:tcMar>
            <w:vAlign w:val="center"/>
          </w:tcPr>
          <w:p w14:paraId="36A35455">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584</w:t>
            </w:r>
          </w:p>
        </w:tc>
        <w:tc>
          <w:tcPr>
            <w:tcW w:w="301" w:type="pct"/>
            <w:tcBorders>
              <w:tl2br w:val="nil"/>
              <w:tr2bl w:val="nil"/>
            </w:tcBorders>
            <w:shd w:val="clear" w:color="auto" w:fill="auto"/>
            <w:tcMar>
              <w:top w:w="12" w:type="dxa"/>
              <w:left w:w="12" w:type="dxa"/>
              <w:right w:w="12" w:type="dxa"/>
            </w:tcMar>
            <w:vAlign w:val="center"/>
          </w:tcPr>
          <w:p w14:paraId="00D8DD7A">
            <w:pPr>
              <w:keepNext w:val="0"/>
              <w:keepLines w:val="0"/>
              <w:pageBreakBefore w:val="0"/>
              <w:wordWrap/>
              <w:topLinePunct w:val="0"/>
              <w:bidi w:val="0"/>
              <w:adjustRightInd w:val="0"/>
              <w:snapToGri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292</w:t>
            </w:r>
          </w:p>
        </w:tc>
        <w:tc>
          <w:tcPr>
            <w:tcW w:w="295" w:type="pct"/>
            <w:tcBorders>
              <w:tl2br w:val="nil"/>
              <w:tr2bl w:val="nil"/>
            </w:tcBorders>
            <w:shd w:val="clear" w:color="auto" w:fill="auto"/>
            <w:tcMar>
              <w:top w:w="12" w:type="dxa"/>
              <w:left w:w="12" w:type="dxa"/>
              <w:right w:w="12" w:type="dxa"/>
            </w:tcMar>
            <w:vAlign w:val="center"/>
          </w:tcPr>
          <w:p w14:paraId="63C4A15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22878C3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7BE9EA4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1028CFD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66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869E7B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5D2F55D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公共选修课程</w:t>
            </w:r>
          </w:p>
        </w:tc>
        <w:tc>
          <w:tcPr>
            <w:tcW w:w="1895" w:type="pct"/>
            <w:gridSpan w:val="2"/>
            <w:tcBorders>
              <w:tl2br w:val="nil"/>
              <w:tr2bl w:val="nil"/>
            </w:tcBorders>
            <w:shd w:val="clear" w:color="auto" w:fill="auto"/>
            <w:tcMar>
              <w:top w:w="12" w:type="dxa"/>
              <w:left w:w="12" w:type="dxa"/>
              <w:right w:w="12" w:type="dxa"/>
            </w:tcMar>
            <w:vAlign w:val="center"/>
          </w:tcPr>
          <w:p w14:paraId="4330FC4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要求学生至少3学分，课程详见附件2</w:t>
            </w:r>
          </w:p>
        </w:tc>
        <w:tc>
          <w:tcPr>
            <w:tcW w:w="2575" w:type="pct"/>
            <w:gridSpan w:val="7"/>
            <w:tcBorders>
              <w:tl2br w:val="nil"/>
              <w:tr2bl w:val="nil"/>
            </w:tcBorders>
            <w:shd w:val="clear" w:color="auto" w:fill="auto"/>
            <w:tcMar>
              <w:top w:w="12" w:type="dxa"/>
              <w:left w:w="12" w:type="dxa"/>
              <w:right w:w="12" w:type="dxa"/>
            </w:tcMar>
            <w:vAlign w:val="center"/>
          </w:tcPr>
          <w:p w14:paraId="1677BF22">
            <w:pPr>
              <w:keepNext w:val="0"/>
              <w:keepLines w:val="0"/>
              <w:pageBreakBefore w:val="0"/>
              <w:wordWrap/>
              <w:topLinePunct w:val="0"/>
              <w:bidi w:val="0"/>
              <w:adjustRightInd w:val="0"/>
              <w:spacing w:line="240" w:lineRule="auto"/>
              <w:ind w:left="0" w:right="0"/>
              <w:jc w:val="left"/>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除了艺术类专业，其他专业必选公共艺术类课程2学分，其他类型选修课选学1学分，一共选修3学分，列入最低毕业总学分；艺术类专业选修其他类型选修课3学分。共3学分。</w:t>
            </w:r>
          </w:p>
        </w:tc>
      </w:tr>
      <w:tr w14:paraId="5FD38C4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5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7B92E4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291769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588B972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40BFA7D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0E78F3E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1514F82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48</w:t>
            </w:r>
          </w:p>
        </w:tc>
        <w:tc>
          <w:tcPr>
            <w:tcW w:w="301" w:type="pct"/>
            <w:tcBorders>
              <w:tl2br w:val="nil"/>
              <w:tr2bl w:val="nil"/>
            </w:tcBorders>
            <w:shd w:val="clear" w:color="auto" w:fill="auto"/>
            <w:tcMar>
              <w:top w:w="12" w:type="dxa"/>
              <w:left w:w="12" w:type="dxa"/>
              <w:right w:w="12" w:type="dxa"/>
            </w:tcMar>
            <w:vAlign w:val="center"/>
          </w:tcPr>
          <w:p w14:paraId="4E0A960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3BC7CEA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39F3D7C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7FE8DB9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76712CE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6F0EB93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专业教育</w:t>
            </w:r>
          </w:p>
        </w:tc>
        <w:tc>
          <w:tcPr>
            <w:tcW w:w="274" w:type="pct"/>
            <w:vMerge w:val="restart"/>
            <w:tcBorders>
              <w:tl2br w:val="nil"/>
              <w:tr2bl w:val="nil"/>
            </w:tcBorders>
            <w:shd w:val="clear" w:color="auto" w:fill="auto"/>
            <w:tcMar>
              <w:top w:w="12" w:type="dxa"/>
              <w:left w:w="12" w:type="dxa"/>
              <w:right w:w="12" w:type="dxa"/>
            </w:tcMar>
            <w:vAlign w:val="center"/>
          </w:tcPr>
          <w:p w14:paraId="3C53253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3DD7D5D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6DD6307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130F985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1224246001</w:t>
            </w:r>
          </w:p>
        </w:tc>
        <w:tc>
          <w:tcPr>
            <w:tcW w:w="1250" w:type="pct"/>
            <w:tcBorders>
              <w:tl2br w:val="nil"/>
              <w:tr2bl w:val="nil"/>
            </w:tcBorders>
            <w:shd w:val="clear" w:color="auto" w:fill="auto"/>
            <w:noWrap/>
            <w:tcMar>
              <w:top w:w="12" w:type="dxa"/>
              <w:left w:w="12" w:type="dxa"/>
              <w:right w:w="12" w:type="dxa"/>
            </w:tcMar>
            <w:vAlign w:val="center"/>
          </w:tcPr>
          <w:p w14:paraId="2A54DF27">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汽车机械制图</w:t>
            </w:r>
          </w:p>
          <w:p w14:paraId="0B464F04">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Automotive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 xml:space="preserve">echanical </w:t>
            </w:r>
            <w:r>
              <w:rPr>
                <w:rFonts w:hint="eastAsia" w:ascii="Times New Roman" w:hAnsi="Times New Roman" w:eastAsia="宋体" w:cs="Times New Roman"/>
                <w:bCs/>
                <w:kern w:val="0"/>
                <w:sz w:val="17"/>
                <w:szCs w:val="17"/>
                <w:lang w:val="en-US" w:eastAsia="zh-CN" w:bidi="ar"/>
              </w:rPr>
              <w:t>D</w:t>
            </w:r>
            <w:r>
              <w:rPr>
                <w:rFonts w:hint="default" w:ascii="Times New Roman" w:hAnsi="Times New Roman" w:eastAsia="宋体" w:cs="Times New Roman"/>
                <w:bCs/>
                <w:kern w:val="0"/>
                <w:sz w:val="17"/>
                <w:szCs w:val="17"/>
                <w:lang w:val="en-US" w:eastAsia="zh-CN" w:bidi="ar"/>
              </w:rPr>
              <w:t>rawing</w:t>
            </w:r>
          </w:p>
        </w:tc>
        <w:tc>
          <w:tcPr>
            <w:tcW w:w="306" w:type="pct"/>
            <w:tcBorders>
              <w:tl2br w:val="nil"/>
              <w:tr2bl w:val="nil"/>
            </w:tcBorders>
            <w:shd w:val="clear" w:color="auto" w:fill="auto"/>
            <w:tcMar>
              <w:top w:w="12" w:type="dxa"/>
              <w:left w:w="12" w:type="dxa"/>
              <w:right w:w="12" w:type="dxa"/>
            </w:tcMar>
            <w:vAlign w:val="center"/>
          </w:tcPr>
          <w:p w14:paraId="5F7B722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1C82579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3A6BFD8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noWrap/>
            <w:tcMar>
              <w:top w:w="12" w:type="dxa"/>
              <w:left w:w="12" w:type="dxa"/>
              <w:right w:w="12" w:type="dxa"/>
            </w:tcMar>
            <w:vAlign w:val="center"/>
          </w:tcPr>
          <w:p w14:paraId="4F8DF0BC">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16</w:t>
            </w:r>
          </w:p>
        </w:tc>
        <w:tc>
          <w:tcPr>
            <w:tcW w:w="295" w:type="pct"/>
            <w:tcBorders>
              <w:tl2br w:val="nil"/>
              <w:tr2bl w:val="nil"/>
            </w:tcBorders>
            <w:shd w:val="clear" w:color="auto" w:fill="auto"/>
            <w:noWrap/>
            <w:tcMar>
              <w:top w:w="12" w:type="dxa"/>
              <w:left w:w="12" w:type="dxa"/>
              <w:right w:w="12" w:type="dxa"/>
            </w:tcMar>
            <w:vAlign w:val="center"/>
          </w:tcPr>
          <w:p w14:paraId="73A0B6D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考试</w:t>
            </w:r>
          </w:p>
        </w:tc>
        <w:tc>
          <w:tcPr>
            <w:tcW w:w="327" w:type="pct"/>
            <w:tcBorders>
              <w:tl2br w:val="nil"/>
              <w:tr2bl w:val="nil"/>
            </w:tcBorders>
            <w:shd w:val="clear" w:color="auto" w:fill="auto"/>
            <w:noWrap/>
            <w:tcMar>
              <w:top w:w="12" w:type="dxa"/>
              <w:left w:w="12" w:type="dxa"/>
              <w:right w:w="12" w:type="dxa"/>
            </w:tcMar>
            <w:vAlign w:val="center"/>
          </w:tcPr>
          <w:p w14:paraId="78AB3C8E">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811" w:type="pct"/>
            <w:tcBorders>
              <w:tl2br w:val="nil"/>
              <w:tr2bl w:val="nil"/>
            </w:tcBorders>
            <w:shd w:val="clear" w:color="auto" w:fill="auto"/>
            <w:noWrap/>
            <w:tcMar>
              <w:top w:w="12" w:type="dxa"/>
              <w:left w:w="12" w:type="dxa"/>
              <w:right w:w="12" w:type="dxa"/>
            </w:tcMar>
            <w:vAlign w:val="center"/>
          </w:tcPr>
          <w:p w14:paraId="4FFA712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4635B5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DC23D4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B10A29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A05699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1224246002</w:t>
            </w:r>
          </w:p>
        </w:tc>
        <w:tc>
          <w:tcPr>
            <w:tcW w:w="1250" w:type="pct"/>
            <w:tcBorders>
              <w:tl2br w:val="nil"/>
              <w:tr2bl w:val="nil"/>
            </w:tcBorders>
            <w:shd w:val="clear" w:color="auto" w:fill="auto"/>
            <w:tcMar>
              <w:top w:w="12" w:type="dxa"/>
              <w:left w:w="12" w:type="dxa"/>
              <w:right w:w="12" w:type="dxa"/>
            </w:tcMar>
            <w:vAlign w:val="center"/>
          </w:tcPr>
          <w:p w14:paraId="148653DF">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汽车机械基础</w:t>
            </w:r>
          </w:p>
          <w:p w14:paraId="68EDAF46">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Fundamentals of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utomobile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achinery</w:t>
            </w:r>
          </w:p>
        </w:tc>
        <w:tc>
          <w:tcPr>
            <w:tcW w:w="306" w:type="pct"/>
            <w:tcBorders>
              <w:tl2br w:val="nil"/>
              <w:tr2bl w:val="nil"/>
            </w:tcBorders>
            <w:shd w:val="clear" w:color="auto" w:fill="auto"/>
            <w:tcMar>
              <w:top w:w="12" w:type="dxa"/>
              <w:left w:w="12" w:type="dxa"/>
              <w:right w:w="12" w:type="dxa"/>
            </w:tcMar>
            <w:vAlign w:val="center"/>
          </w:tcPr>
          <w:p w14:paraId="35CD7E4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248" w:type="pct"/>
            <w:tcBorders>
              <w:tl2br w:val="nil"/>
              <w:tr2bl w:val="nil"/>
            </w:tcBorders>
            <w:shd w:val="clear" w:color="auto" w:fill="auto"/>
            <w:tcMar>
              <w:top w:w="12" w:type="dxa"/>
              <w:left w:w="12" w:type="dxa"/>
              <w:right w:w="12" w:type="dxa"/>
            </w:tcMar>
            <w:vAlign w:val="center"/>
          </w:tcPr>
          <w:p w14:paraId="691FBD8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48</w:t>
            </w:r>
          </w:p>
        </w:tc>
        <w:tc>
          <w:tcPr>
            <w:tcW w:w="285" w:type="pct"/>
            <w:tcBorders>
              <w:tl2br w:val="nil"/>
              <w:tr2bl w:val="nil"/>
            </w:tcBorders>
            <w:shd w:val="clear" w:color="auto" w:fill="auto"/>
            <w:tcMar>
              <w:top w:w="12" w:type="dxa"/>
              <w:left w:w="12" w:type="dxa"/>
              <w:right w:w="12" w:type="dxa"/>
            </w:tcMar>
            <w:vAlign w:val="center"/>
          </w:tcPr>
          <w:p w14:paraId="050D96FB">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40</w:t>
            </w:r>
          </w:p>
        </w:tc>
        <w:tc>
          <w:tcPr>
            <w:tcW w:w="301" w:type="pct"/>
            <w:tcBorders>
              <w:tl2br w:val="nil"/>
              <w:tr2bl w:val="nil"/>
            </w:tcBorders>
            <w:shd w:val="clear" w:color="auto" w:fill="auto"/>
            <w:tcMar>
              <w:top w:w="12" w:type="dxa"/>
              <w:left w:w="12" w:type="dxa"/>
              <w:right w:w="12" w:type="dxa"/>
            </w:tcMar>
            <w:vAlign w:val="center"/>
          </w:tcPr>
          <w:p w14:paraId="2992A95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3DC543C3">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3F99B7B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811" w:type="pct"/>
            <w:tcBorders>
              <w:tl2br w:val="nil"/>
              <w:tr2bl w:val="nil"/>
            </w:tcBorders>
            <w:shd w:val="clear" w:color="auto" w:fill="auto"/>
            <w:tcMar>
              <w:top w:w="12" w:type="dxa"/>
              <w:left w:w="12" w:type="dxa"/>
              <w:right w:w="12" w:type="dxa"/>
            </w:tcMar>
            <w:vAlign w:val="center"/>
          </w:tcPr>
          <w:p w14:paraId="7A8C580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5E20FB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668964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B417D9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B26DF5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2023252011</w:t>
            </w:r>
          </w:p>
        </w:tc>
        <w:tc>
          <w:tcPr>
            <w:tcW w:w="1250" w:type="pct"/>
            <w:tcBorders>
              <w:tl2br w:val="nil"/>
              <w:tr2bl w:val="nil"/>
            </w:tcBorders>
            <w:shd w:val="clear" w:color="auto" w:fill="auto"/>
            <w:tcMar>
              <w:top w:w="12" w:type="dxa"/>
              <w:left w:w="12" w:type="dxa"/>
              <w:right w:w="12" w:type="dxa"/>
            </w:tcMar>
            <w:vAlign w:val="center"/>
          </w:tcPr>
          <w:p w14:paraId="0EA35CCA">
            <w:pPr>
              <w:adjustRightInd w:val="0"/>
              <w:spacing w:line="200" w:lineRule="exact"/>
              <w:jc w:val="left"/>
              <w:rPr>
                <w:rFonts w:hint="eastAsia" w:ascii="Times New Roman" w:hAnsi="Times New Roman" w:eastAsia="宋体" w:cs="Times New Roman"/>
                <w:bCs/>
                <w:kern w:val="0"/>
                <w:sz w:val="17"/>
                <w:szCs w:val="17"/>
                <w:lang w:bidi="ar"/>
              </w:rPr>
            </w:pPr>
            <w:r>
              <w:rPr>
                <w:rFonts w:hint="eastAsia" w:ascii="Times New Roman" w:hAnsi="Times New Roman" w:eastAsia="宋体" w:cs="Times New Roman"/>
                <w:bCs/>
                <w:kern w:val="0"/>
                <w:sz w:val="17"/>
                <w:szCs w:val="17"/>
                <w:lang w:bidi="ar"/>
              </w:rPr>
              <w:t>C语言程序设计</w:t>
            </w:r>
          </w:p>
          <w:p w14:paraId="51C61D8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 </w:t>
            </w:r>
            <w:r>
              <w:rPr>
                <w:rFonts w:hint="eastAsia" w:ascii="Times New Roman" w:hAnsi="Times New Roman" w:eastAsia="宋体" w:cs="Times New Roman"/>
                <w:bCs/>
                <w:kern w:val="0"/>
                <w:sz w:val="17"/>
                <w:szCs w:val="17"/>
                <w:lang w:val="en-US" w:eastAsia="zh-CN" w:bidi="ar"/>
              </w:rPr>
              <w:t>L</w:t>
            </w:r>
            <w:r>
              <w:rPr>
                <w:rFonts w:hint="default" w:ascii="Times New Roman" w:hAnsi="Times New Roman" w:eastAsia="宋体" w:cs="Times New Roman"/>
                <w:bCs/>
                <w:kern w:val="0"/>
                <w:sz w:val="17"/>
                <w:szCs w:val="17"/>
                <w:lang w:val="en-US" w:eastAsia="zh-CN" w:bidi="ar"/>
              </w:rPr>
              <w:t xml:space="preserve">anguage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rogramming</w:t>
            </w:r>
          </w:p>
        </w:tc>
        <w:tc>
          <w:tcPr>
            <w:tcW w:w="306" w:type="pct"/>
            <w:tcBorders>
              <w:tl2br w:val="nil"/>
              <w:tr2bl w:val="nil"/>
            </w:tcBorders>
            <w:shd w:val="clear" w:color="auto" w:fill="auto"/>
            <w:tcMar>
              <w:top w:w="12" w:type="dxa"/>
              <w:left w:w="12" w:type="dxa"/>
              <w:right w:w="12" w:type="dxa"/>
            </w:tcMar>
            <w:vAlign w:val="center"/>
          </w:tcPr>
          <w:p w14:paraId="338EA0E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31CDE82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4C91EF73">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7463A4E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295" w:type="pct"/>
            <w:tcBorders>
              <w:tl2br w:val="nil"/>
              <w:tr2bl w:val="nil"/>
            </w:tcBorders>
            <w:shd w:val="clear" w:color="auto" w:fill="auto"/>
            <w:tcMar>
              <w:top w:w="12" w:type="dxa"/>
              <w:left w:w="12" w:type="dxa"/>
              <w:right w:w="12" w:type="dxa"/>
            </w:tcMar>
            <w:vAlign w:val="center"/>
          </w:tcPr>
          <w:p w14:paraId="70B7804C">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考试</w:t>
            </w:r>
          </w:p>
        </w:tc>
        <w:tc>
          <w:tcPr>
            <w:tcW w:w="327" w:type="pct"/>
            <w:tcBorders>
              <w:tl2br w:val="nil"/>
              <w:tr2bl w:val="nil"/>
            </w:tcBorders>
            <w:shd w:val="clear" w:color="auto" w:fill="auto"/>
            <w:tcMar>
              <w:top w:w="12" w:type="dxa"/>
              <w:left w:w="12" w:type="dxa"/>
              <w:right w:w="12" w:type="dxa"/>
            </w:tcMar>
            <w:vAlign w:val="center"/>
          </w:tcPr>
          <w:p w14:paraId="66D9CC9A">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w:t>
            </w:r>
          </w:p>
        </w:tc>
        <w:tc>
          <w:tcPr>
            <w:tcW w:w="811" w:type="pct"/>
            <w:tcBorders>
              <w:tl2br w:val="nil"/>
              <w:tr2bl w:val="nil"/>
            </w:tcBorders>
            <w:shd w:val="clear" w:color="auto" w:fill="auto"/>
            <w:tcMar>
              <w:top w:w="12" w:type="dxa"/>
              <w:left w:w="12" w:type="dxa"/>
              <w:right w:w="12" w:type="dxa"/>
            </w:tcMar>
            <w:vAlign w:val="center"/>
          </w:tcPr>
          <w:p w14:paraId="391BB0D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4BCC48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6D7B8A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F07C5B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3B42C4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2024251002</w:t>
            </w:r>
          </w:p>
        </w:tc>
        <w:tc>
          <w:tcPr>
            <w:tcW w:w="1250" w:type="pct"/>
            <w:tcBorders>
              <w:tl2br w:val="nil"/>
              <w:tr2bl w:val="nil"/>
            </w:tcBorders>
            <w:shd w:val="clear" w:color="auto" w:fill="auto"/>
            <w:tcMar>
              <w:top w:w="12" w:type="dxa"/>
              <w:left w:w="12" w:type="dxa"/>
              <w:right w:w="12" w:type="dxa"/>
            </w:tcMar>
            <w:vAlign w:val="center"/>
          </w:tcPr>
          <w:p w14:paraId="28A0851F">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单片机应用技术</w:t>
            </w:r>
          </w:p>
          <w:p w14:paraId="650AF239">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Single-chip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omputer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pplication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60A18AF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4B99979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70BBF16E">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5871AEA2">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16</w:t>
            </w:r>
          </w:p>
        </w:tc>
        <w:tc>
          <w:tcPr>
            <w:tcW w:w="295" w:type="pct"/>
            <w:tcBorders>
              <w:tl2br w:val="nil"/>
              <w:tr2bl w:val="nil"/>
            </w:tcBorders>
            <w:shd w:val="clear" w:color="auto" w:fill="auto"/>
            <w:tcMar>
              <w:top w:w="12" w:type="dxa"/>
              <w:left w:w="12" w:type="dxa"/>
              <w:right w:w="12" w:type="dxa"/>
            </w:tcMar>
            <w:vAlign w:val="center"/>
          </w:tcPr>
          <w:p w14:paraId="43AEA121">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考试</w:t>
            </w:r>
          </w:p>
        </w:tc>
        <w:tc>
          <w:tcPr>
            <w:tcW w:w="327" w:type="pct"/>
            <w:tcBorders>
              <w:tl2br w:val="nil"/>
              <w:tr2bl w:val="nil"/>
            </w:tcBorders>
            <w:shd w:val="clear" w:color="auto" w:fill="auto"/>
            <w:tcMar>
              <w:top w:w="12" w:type="dxa"/>
              <w:left w:w="12" w:type="dxa"/>
              <w:right w:w="12" w:type="dxa"/>
            </w:tcMar>
            <w:vAlign w:val="center"/>
          </w:tcPr>
          <w:p w14:paraId="15760A30">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5F51373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603EF1A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76"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181A61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FC3302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B53377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1224246003</w:t>
            </w:r>
          </w:p>
        </w:tc>
        <w:tc>
          <w:tcPr>
            <w:tcW w:w="1250" w:type="pct"/>
            <w:tcBorders>
              <w:tl2br w:val="nil"/>
              <w:tr2bl w:val="nil"/>
            </w:tcBorders>
            <w:shd w:val="clear" w:color="auto" w:fill="auto"/>
            <w:tcMar>
              <w:top w:w="12" w:type="dxa"/>
              <w:left w:w="12" w:type="dxa"/>
              <w:right w:w="12" w:type="dxa"/>
            </w:tcMar>
            <w:vAlign w:val="center"/>
          </w:tcPr>
          <w:p w14:paraId="27A328B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汽车电工电子技术</w:t>
            </w:r>
          </w:p>
          <w:p w14:paraId="7CAAD076">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Automotive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lectrician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lectronic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6CB0F57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5233FD6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565B65FA">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40</w:t>
            </w:r>
          </w:p>
        </w:tc>
        <w:tc>
          <w:tcPr>
            <w:tcW w:w="301" w:type="pct"/>
            <w:tcBorders>
              <w:tl2br w:val="nil"/>
              <w:tr2bl w:val="nil"/>
            </w:tcBorders>
            <w:shd w:val="clear" w:color="auto" w:fill="auto"/>
            <w:tcMar>
              <w:top w:w="12" w:type="dxa"/>
              <w:left w:w="12" w:type="dxa"/>
              <w:right w:w="12" w:type="dxa"/>
            </w:tcMar>
            <w:vAlign w:val="center"/>
          </w:tcPr>
          <w:p w14:paraId="4735366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08031B84">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5E6A28D9">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811" w:type="pct"/>
            <w:tcBorders>
              <w:tl2br w:val="nil"/>
              <w:tr2bl w:val="nil"/>
            </w:tcBorders>
            <w:shd w:val="clear" w:color="auto" w:fill="auto"/>
            <w:tcMar>
              <w:top w:w="12" w:type="dxa"/>
              <w:left w:w="12" w:type="dxa"/>
              <w:right w:w="12" w:type="dxa"/>
            </w:tcMar>
            <w:vAlign w:val="center"/>
          </w:tcPr>
          <w:p w14:paraId="2AE80B6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5F0108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464"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146D0CD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B60798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6797B2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1224546007</w:t>
            </w:r>
          </w:p>
        </w:tc>
        <w:tc>
          <w:tcPr>
            <w:tcW w:w="1250" w:type="pct"/>
            <w:tcBorders>
              <w:tl2br w:val="nil"/>
              <w:tr2bl w:val="nil"/>
            </w:tcBorders>
            <w:shd w:val="clear" w:color="auto" w:fill="auto"/>
            <w:tcMar>
              <w:top w:w="12" w:type="dxa"/>
              <w:left w:w="12" w:type="dxa"/>
              <w:right w:w="12" w:type="dxa"/>
            </w:tcMar>
            <w:vAlign w:val="center"/>
          </w:tcPr>
          <w:p w14:paraId="19734FB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电工电子实训</w:t>
            </w:r>
          </w:p>
          <w:p w14:paraId="70251632">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Practical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 xml:space="preserve">raining of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lectricians</w:t>
            </w:r>
          </w:p>
        </w:tc>
        <w:tc>
          <w:tcPr>
            <w:tcW w:w="306" w:type="pct"/>
            <w:tcBorders>
              <w:tl2br w:val="nil"/>
              <w:tr2bl w:val="nil"/>
            </w:tcBorders>
            <w:shd w:val="clear" w:color="auto" w:fill="auto"/>
            <w:tcMar>
              <w:top w:w="12" w:type="dxa"/>
              <w:left w:w="12" w:type="dxa"/>
              <w:right w:w="12" w:type="dxa"/>
            </w:tcMar>
            <w:vAlign w:val="center"/>
          </w:tcPr>
          <w:p w14:paraId="0070BEA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248" w:type="pct"/>
            <w:tcBorders>
              <w:tl2br w:val="nil"/>
              <w:tr2bl w:val="nil"/>
            </w:tcBorders>
            <w:shd w:val="clear" w:color="auto" w:fill="auto"/>
            <w:tcMar>
              <w:top w:w="12" w:type="dxa"/>
              <w:left w:w="12" w:type="dxa"/>
              <w:right w:w="12" w:type="dxa"/>
            </w:tcMar>
            <w:vAlign w:val="center"/>
          </w:tcPr>
          <w:p w14:paraId="178C5AC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85" w:type="pct"/>
            <w:tcBorders>
              <w:tl2br w:val="nil"/>
              <w:tr2bl w:val="nil"/>
            </w:tcBorders>
            <w:shd w:val="clear" w:color="auto" w:fill="auto"/>
            <w:tcMar>
              <w:top w:w="12" w:type="dxa"/>
              <w:left w:w="12" w:type="dxa"/>
              <w:right w:w="12" w:type="dxa"/>
            </w:tcMar>
            <w:vAlign w:val="center"/>
          </w:tcPr>
          <w:p w14:paraId="3C4E7E3F">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2BE4F3E3">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4459600B">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2C40E570">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811" w:type="pct"/>
            <w:tcBorders>
              <w:tl2br w:val="nil"/>
              <w:tr2bl w:val="nil"/>
            </w:tcBorders>
            <w:shd w:val="clear" w:color="auto" w:fill="auto"/>
            <w:tcMar>
              <w:top w:w="12" w:type="dxa"/>
              <w:left w:w="12" w:type="dxa"/>
              <w:right w:w="12" w:type="dxa"/>
            </w:tcMar>
            <w:vAlign w:val="center"/>
          </w:tcPr>
          <w:p w14:paraId="247B59B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D99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34EF99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262A04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0DCC6C1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top"/>
          </w:tcPr>
          <w:p w14:paraId="5775F64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16</w:t>
            </w:r>
          </w:p>
        </w:tc>
        <w:tc>
          <w:tcPr>
            <w:tcW w:w="248" w:type="pct"/>
            <w:tcBorders>
              <w:tl2br w:val="nil"/>
              <w:tr2bl w:val="nil"/>
            </w:tcBorders>
            <w:shd w:val="clear" w:color="auto" w:fill="auto"/>
            <w:tcMar>
              <w:top w:w="12" w:type="dxa"/>
              <w:left w:w="12" w:type="dxa"/>
              <w:right w:w="12" w:type="dxa"/>
            </w:tcMar>
            <w:vAlign w:val="top"/>
          </w:tcPr>
          <w:p w14:paraId="0233EA2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270</w:t>
            </w:r>
          </w:p>
        </w:tc>
        <w:tc>
          <w:tcPr>
            <w:tcW w:w="285" w:type="pct"/>
            <w:tcBorders>
              <w:tl2br w:val="nil"/>
              <w:tr2bl w:val="nil"/>
            </w:tcBorders>
            <w:shd w:val="clear" w:color="auto" w:fill="auto"/>
            <w:tcMar>
              <w:top w:w="12" w:type="dxa"/>
              <w:left w:w="12" w:type="dxa"/>
              <w:right w:w="12" w:type="dxa"/>
            </w:tcMar>
            <w:vAlign w:val="top"/>
          </w:tcPr>
          <w:p w14:paraId="49DC625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168</w:t>
            </w:r>
          </w:p>
        </w:tc>
        <w:tc>
          <w:tcPr>
            <w:tcW w:w="301" w:type="pct"/>
            <w:tcBorders>
              <w:tl2br w:val="nil"/>
              <w:tr2bl w:val="nil"/>
            </w:tcBorders>
            <w:shd w:val="clear" w:color="auto" w:fill="auto"/>
            <w:tcMar>
              <w:top w:w="12" w:type="dxa"/>
              <w:left w:w="12" w:type="dxa"/>
              <w:right w:w="12" w:type="dxa"/>
            </w:tcMar>
            <w:vAlign w:val="top"/>
          </w:tcPr>
          <w:p w14:paraId="56C2F846">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102</w:t>
            </w:r>
          </w:p>
        </w:tc>
        <w:tc>
          <w:tcPr>
            <w:tcW w:w="295" w:type="pct"/>
            <w:tcBorders>
              <w:tl2br w:val="nil"/>
              <w:tr2bl w:val="nil"/>
            </w:tcBorders>
            <w:shd w:val="clear" w:color="auto" w:fill="auto"/>
            <w:tcMar>
              <w:top w:w="12" w:type="dxa"/>
              <w:left w:w="12" w:type="dxa"/>
              <w:right w:w="12" w:type="dxa"/>
            </w:tcMar>
            <w:vAlign w:val="center"/>
          </w:tcPr>
          <w:p w14:paraId="4990089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75A2CA5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5E806C9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30A026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C38E11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422B5D9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041B720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p w14:paraId="02F65C9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27C8961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1224246051</w:t>
            </w:r>
          </w:p>
        </w:tc>
        <w:tc>
          <w:tcPr>
            <w:tcW w:w="1250" w:type="pct"/>
            <w:tcBorders>
              <w:tl2br w:val="nil"/>
              <w:tr2bl w:val="nil"/>
            </w:tcBorders>
            <w:shd w:val="clear" w:color="auto" w:fill="auto"/>
            <w:tcMar>
              <w:top w:w="12" w:type="dxa"/>
              <w:left w:w="12" w:type="dxa"/>
              <w:right w:w="12" w:type="dxa"/>
            </w:tcMar>
            <w:vAlign w:val="center"/>
          </w:tcPr>
          <w:p w14:paraId="72664CE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汽车构造</w:t>
            </w:r>
          </w:p>
          <w:p w14:paraId="453A0868">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 </w:t>
            </w:r>
            <w:r>
              <w:rPr>
                <w:rFonts w:hint="eastAsia" w:ascii="Times New Roman" w:hAnsi="Times New Roman" w:eastAsia="宋体" w:cs="Times New Roman"/>
                <w:bCs/>
                <w:kern w:val="0"/>
                <w:sz w:val="17"/>
                <w:szCs w:val="17"/>
                <w:lang w:val="en-US" w:eastAsia="zh-CN" w:bidi="ar"/>
              </w:rPr>
              <w:t>S</w:t>
            </w:r>
            <w:r>
              <w:rPr>
                <w:rFonts w:hint="default" w:ascii="Times New Roman" w:hAnsi="Times New Roman" w:eastAsia="宋体" w:cs="Times New Roman"/>
                <w:bCs/>
                <w:kern w:val="0"/>
                <w:sz w:val="17"/>
                <w:szCs w:val="17"/>
                <w:lang w:val="en-US" w:eastAsia="zh-CN" w:bidi="ar"/>
              </w:rPr>
              <w:t>tructure</w:t>
            </w:r>
          </w:p>
        </w:tc>
        <w:tc>
          <w:tcPr>
            <w:tcW w:w="306" w:type="pct"/>
            <w:tcBorders>
              <w:tl2br w:val="nil"/>
              <w:tr2bl w:val="nil"/>
            </w:tcBorders>
            <w:shd w:val="clear" w:color="auto" w:fill="auto"/>
            <w:tcMar>
              <w:top w:w="12" w:type="dxa"/>
              <w:left w:w="12" w:type="dxa"/>
              <w:right w:w="12" w:type="dxa"/>
            </w:tcMar>
            <w:vAlign w:val="center"/>
          </w:tcPr>
          <w:p w14:paraId="0D1B5DD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2C89C8F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6D75C954">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66D22EF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95" w:type="pct"/>
            <w:tcBorders>
              <w:tl2br w:val="nil"/>
              <w:tr2bl w:val="nil"/>
            </w:tcBorders>
            <w:shd w:val="clear" w:color="auto" w:fill="auto"/>
            <w:tcMar>
              <w:top w:w="12" w:type="dxa"/>
              <w:left w:w="12" w:type="dxa"/>
              <w:right w:w="12" w:type="dxa"/>
            </w:tcMar>
            <w:vAlign w:val="center"/>
          </w:tcPr>
          <w:p w14:paraId="05FCA0A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175DC79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811" w:type="pct"/>
            <w:tcBorders>
              <w:tl2br w:val="nil"/>
              <w:tr2bl w:val="nil"/>
            </w:tcBorders>
            <w:shd w:val="clear" w:color="auto" w:fill="auto"/>
            <w:tcMar>
              <w:top w:w="12" w:type="dxa"/>
              <w:left w:w="12" w:type="dxa"/>
              <w:right w:w="12" w:type="dxa"/>
            </w:tcMar>
            <w:vAlign w:val="top"/>
          </w:tcPr>
          <w:p w14:paraId="73DC21B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5D4925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9EA022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296E53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B46A18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1224246052</w:t>
            </w:r>
          </w:p>
        </w:tc>
        <w:tc>
          <w:tcPr>
            <w:tcW w:w="1250" w:type="pct"/>
            <w:tcBorders>
              <w:tl2br w:val="nil"/>
              <w:tr2bl w:val="nil"/>
            </w:tcBorders>
            <w:shd w:val="clear" w:color="auto" w:fill="auto"/>
            <w:tcMar>
              <w:top w:w="12" w:type="dxa"/>
              <w:left w:w="12" w:type="dxa"/>
              <w:right w:w="12" w:type="dxa"/>
            </w:tcMar>
            <w:vAlign w:val="center"/>
          </w:tcPr>
          <w:p w14:paraId="1756C6D4">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新能源汽车电气技术</w:t>
            </w:r>
          </w:p>
          <w:p w14:paraId="566FE29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Electrical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 xml:space="preserve">echnology of </w:t>
            </w:r>
            <w:r>
              <w:rPr>
                <w:rFonts w:hint="eastAsia" w:ascii="Times New Roman" w:hAnsi="Times New Roman" w:eastAsia="宋体" w:cs="Times New Roman"/>
                <w:bCs/>
                <w:kern w:val="0"/>
                <w:sz w:val="17"/>
                <w:szCs w:val="17"/>
                <w:lang w:val="en-US" w:eastAsia="zh-CN" w:bidi="ar"/>
              </w:rPr>
              <w:t>N</w:t>
            </w:r>
            <w:r>
              <w:rPr>
                <w:rFonts w:hint="default" w:ascii="Times New Roman" w:hAnsi="Times New Roman" w:eastAsia="宋体" w:cs="Times New Roman"/>
                <w:bCs/>
                <w:kern w:val="0"/>
                <w:sz w:val="17"/>
                <w:szCs w:val="17"/>
                <w:lang w:val="en-US" w:eastAsia="zh-CN" w:bidi="ar"/>
              </w:rPr>
              <w:t xml:space="preserve">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ehicles</w:t>
            </w:r>
          </w:p>
        </w:tc>
        <w:tc>
          <w:tcPr>
            <w:tcW w:w="306" w:type="pct"/>
            <w:tcBorders>
              <w:tl2br w:val="nil"/>
              <w:tr2bl w:val="nil"/>
            </w:tcBorders>
            <w:shd w:val="clear" w:color="auto" w:fill="auto"/>
            <w:tcMar>
              <w:top w:w="12" w:type="dxa"/>
              <w:left w:w="12" w:type="dxa"/>
              <w:right w:w="12" w:type="dxa"/>
            </w:tcMar>
            <w:vAlign w:val="center"/>
          </w:tcPr>
          <w:p w14:paraId="69D3C65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248" w:type="pct"/>
            <w:tcBorders>
              <w:tl2br w:val="nil"/>
              <w:tr2bl w:val="nil"/>
            </w:tcBorders>
            <w:shd w:val="clear" w:color="auto" w:fill="auto"/>
            <w:tcMar>
              <w:top w:w="12" w:type="dxa"/>
              <w:left w:w="12" w:type="dxa"/>
              <w:right w:w="12" w:type="dxa"/>
            </w:tcMar>
            <w:vAlign w:val="center"/>
          </w:tcPr>
          <w:p w14:paraId="00DD55D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48</w:t>
            </w:r>
          </w:p>
        </w:tc>
        <w:tc>
          <w:tcPr>
            <w:tcW w:w="285" w:type="pct"/>
            <w:tcBorders>
              <w:tl2br w:val="nil"/>
              <w:tr2bl w:val="nil"/>
            </w:tcBorders>
            <w:shd w:val="clear" w:color="auto" w:fill="auto"/>
            <w:noWrap/>
            <w:tcMar>
              <w:top w:w="12" w:type="dxa"/>
              <w:left w:w="12" w:type="dxa"/>
              <w:right w:w="12" w:type="dxa"/>
            </w:tcMar>
            <w:vAlign w:val="center"/>
          </w:tcPr>
          <w:p w14:paraId="1B2B7FA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301" w:type="pct"/>
            <w:tcBorders>
              <w:tl2br w:val="nil"/>
              <w:tr2bl w:val="nil"/>
            </w:tcBorders>
            <w:shd w:val="clear" w:color="auto" w:fill="auto"/>
            <w:tcMar>
              <w:top w:w="12" w:type="dxa"/>
              <w:left w:w="12" w:type="dxa"/>
              <w:right w:w="12" w:type="dxa"/>
            </w:tcMar>
            <w:vAlign w:val="center"/>
          </w:tcPr>
          <w:p w14:paraId="4D91002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95" w:type="pct"/>
            <w:tcBorders>
              <w:tl2br w:val="nil"/>
              <w:tr2bl w:val="nil"/>
            </w:tcBorders>
            <w:shd w:val="clear" w:color="auto" w:fill="auto"/>
            <w:tcMar>
              <w:top w:w="12" w:type="dxa"/>
              <w:left w:w="12" w:type="dxa"/>
              <w:right w:w="12" w:type="dxa"/>
            </w:tcMar>
            <w:vAlign w:val="center"/>
          </w:tcPr>
          <w:p w14:paraId="36F9B7D4">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4AC017A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811" w:type="pct"/>
            <w:tcBorders>
              <w:tl2br w:val="nil"/>
              <w:tr2bl w:val="nil"/>
            </w:tcBorders>
            <w:shd w:val="clear" w:color="auto" w:fill="auto"/>
            <w:tcMar>
              <w:top w:w="12" w:type="dxa"/>
              <w:left w:w="12" w:type="dxa"/>
              <w:right w:w="12" w:type="dxa"/>
            </w:tcMar>
            <w:vAlign w:val="top"/>
          </w:tcPr>
          <w:p w14:paraId="29A4FA9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7335EB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C393FC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9CD526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4B9E19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1224246053</w:t>
            </w:r>
          </w:p>
        </w:tc>
        <w:tc>
          <w:tcPr>
            <w:tcW w:w="1250" w:type="pct"/>
            <w:tcBorders>
              <w:tl2br w:val="nil"/>
              <w:tr2bl w:val="nil"/>
            </w:tcBorders>
            <w:shd w:val="clear" w:color="auto" w:fill="auto"/>
            <w:tcMar>
              <w:top w:w="12" w:type="dxa"/>
              <w:left w:w="12" w:type="dxa"/>
              <w:right w:w="12" w:type="dxa"/>
            </w:tcMar>
            <w:vAlign w:val="center"/>
          </w:tcPr>
          <w:p w14:paraId="2EB2ED0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新能源汽车电池及管理系统</w:t>
            </w:r>
          </w:p>
          <w:p w14:paraId="44B0F11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B</w:t>
            </w:r>
            <w:r>
              <w:rPr>
                <w:rFonts w:hint="default" w:ascii="Times New Roman" w:hAnsi="Times New Roman" w:eastAsia="宋体" w:cs="Times New Roman"/>
                <w:bCs/>
                <w:kern w:val="0"/>
                <w:sz w:val="17"/>
                <w:szCs w:val="17"/>
                <w:lang w:val="en-US" w:eastAsia="zh-CN" w:bidi="ar"/>
              </w:rPr>
              <w:t xml:space="preserve">atteries and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 xml:space="preserve">anagement </w:t>
            </w:r>
            <w:r>
              <w:rPr>
                <w:rFonts w:hint="eastAsia" w:ascii="Times New Roman" w:hAnsi="Times New Roman" w:eastAsia="宋体" w:cs="Times New Roman"/>
                <w:bCs/>
                <w:kern w:val="0"/>
                <w:sz w:val="17"/>
                <w:szCs w:val="17"/>
                <w:lang w:val="en-US" w:eastAsia="zh-CN" w:bidi="ar"/>
              </w:rPr>
              <w:t>S</w:t>
            </w:r>
            <w:r>
              <w:rPr>
                <w:rFonts w:hint="default" w:ascii="Times New Roman" w:hAnsi="Times New Roman" w:eastAsia="宋体" w:cs="Times New Roman"/>
                <w:bCs/>
                <w:kern w:val="0"/>
                <w:sz w:val="17"/>
                <w:szCs w:val="17"/>
                <w:lang w:val="en-US" w:eastAsia="zh-CN" w:bidi="ar"/>
              </w:rPr>
              <w:t>ystems</w:t>
            </w:r>
          </w:p>
        </w:tc>
        <w:tc>
          <w:tcPr>
            <w:tcW w:w="306" w:type="pct"/>
            <w:tcBorders>
              <w:tl2br w:val="nil"/>
              <w:tr2bl w:val="nil"/>
            </w:tcBorders>
            <w:shd w:val="clear" w:color="auto" w:fill="auto"/>
            <w:tcMar>
              <w:top w:w="12" w:type="dxa"/>
              <w:left w:w="12" w:type="dxa"/>
              <w:right w:w="12" w:type="dxa"/>
            </w:tcMar>
            <w:vAlign w:val="center"/>
          </w:tcPr>
          <w:p w14:paraId="2BF4E56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248" w:type="pct"/>
            <w:tcBorders>
              <w:tl2br w:val="nil"/>
              <w:tr2bl w:val="nil"/>
            </w:tcBorders>
            <w:shd w:val="clear" w:color="auto" w:fill="auto"/>
            <w:tcMar>
              <w:top w:w="12" w:type="dxa"/>
              <w:left w:w="12" w:type="dxa"/>
              <w:right w:w="12" w:type="dxa"/>
            </w:tcMar>
            <w:vAlign w:val="center"/>
          </w:tcPr>
          <w:p w14:paraId="19D3CFD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48</w:t>
            </w:r>
          </w:p>
        </w:tc>
        <w:tc>
          <w:tcPr>
            <w:tcW w:w="285" w:type="pct"/>
            <w:tcBorders>
              <w:tl2br w:val="nil"/>
              <w:tr2bl w:val="nil"/>
            </w:tcBorders>
            <w:shd w:val="clear" w:color="auto" w:fill="auto"/>
            <w:noWrap/>
            <w:tcMar>
              <w:top w:w="12" w:type="dxa"/>
              <w:left w:w="12" w:type="dxa"/>
              <w:right w:w="12" w:type="dxa"/>
            </w:tcMar>
            <w:vAlign w:val="center"/>
          </w:tcPr>
          <w:p w14:paraId="689F830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tcMar>
              <w:top w:w="12" w:type="dxa"/>
              <w:left w:w="12" w:type="dxa"/>
              <w:right w:w="12" w:type="dxa"/>
            </w:tcMar>
            <w:vAlign w:val="center"/>
          </w:tcPr>
          <w:p w14:paraId="19C7AED8">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16</w:t>
            </w:r>
          </w:p>
        </w:tc>
        <w:tc>
          <w:tcPr>
            <w:tcW w:w="295" w:type="pct"/>
            <w:tcBorders>
              <w:tl2br w:val="nil"/>
              <w:tr2bl w:val="nil"/>
            </w:tcBorders>
            <w:shd w:val="clear" w:color="auto" w:fill="auto"/>
            <w:tcMar>
              <w:top w:w="12" w:type="dxa"/>
              <w:left w:w="12" w:type="dxa"/>
              <w:right w:w="12" w:type="dxa"/>
            </w:tcMar>
            <w:vAlign w:val="center"/>
          </w:tcPr>
          <w:p w14:paraId="6A173689">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4EEC05AD">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17B3FB8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6260A4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5C5F42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8D03DF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A84B68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1224246064</w:t>
            </w:r>
          </w:p>
        </w:tc>
        <w:tc>
          <w:tcPr>
            <w:tcW w:w="1250" w:type="pct"/>
            <w:tcBorders>
              <w:tl2br w:val="nil"/>
              <w:tr2bl w:val="nil"/>
            </w:tcBorders>
            <w:shd w:val="clear" w:color="auto" w:fill="auto"/>
            <w:tcMar>
              <w:top w:w="12" w:type="dxa"/>
              <w:left w:w="12" w:type="dxa"/>
              <w:right w:w="12" w:type="dxa"/>
            </w:tcMar>
            <w:vAlign w:val="center"/>
          </w:tcPr>
          <w:p w14:paraId="734058C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新能源汽车驱动电机及控制技术</w:t>
            </w:r>
          </w:p>
          <w:p w14:paraId="1B0B2A5F">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D</w:t>
            </w:r>
            <w:r>
              <w:rPr>
                <w:rFonts w:hint="default" w:ascii="Times New Roman" w:hAnsi="Times New Roman" w:eastAsia="宋体" w:cs="Times New Roman"/>
                <w:bCs/>
                <w:kern w:val="0"/>
                <w:sz w:val="17"/>
                <w:szCs w:val="17"/>
                <w:lang w:val="en-US" w:eastAsia="zh-CN" w:bidi="ar"/>
              </w:rPr>
              <w:t xml:space="preserve">rive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 xml:space="preserve">otor and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ontrol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527F012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2.5</w:t>
            </w:r>
          </w:p>
        </w:tc>
        <w:tc>
          <w:tcPr>
            <w:tcW w:w="248" w:type="pct"/>
            <w:tcBorders>
              <w:tl2br w:val="nil"/>
              <w:tr2bl w:val="nil"/>
            </w:tcBorders>
            <w:shd w:val="clear" w:color="auto" w:fill="auto"/>
            <w:tcMar>
              <w:top w:w="12" w:type="dxa"/>
              <w:left w:w="12" w:type="dxa"/>
              <w:right w:w="12" w:type="dxa"/>
            </w:tcMar>
            <w:vAlign w:val="center"/>
          </w:tcPr>
          <w:p w14:paraId="0590BD82">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eastAsia="宋体"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r>
              <w:rPr>
                <w:rFonts w:hint="eastAsia" w:ascii="Times New Roman" w:hAnsi="Times New Roman" w:eastAsia="宋体" w:cs="Times New Roman"/>
                <w:color w:val="auto"/>
                <w:sz w:val="18"/>
                <w:szCs w:val="18"/>
                <w:highlight w:val="none"/>
                <w:lang w:val="en-US" w:eastAsia="zh-CN"/>
              </w:rPr>
              <w:t>0</w:t>
            </w:r>
          </w:p>
        </w:tc>
        <w:tc>
          <w:tcPr>
            <w:tcW w:w="285" w:type="pct"/>
            <w:tcBorders>
              <w:tl2br w:val="nil"/>
              <w:tr2bl w:val="nil"/>
            </w:tcBorders>
            <w:shd w:val="clear" w:color="auto" w:fill="auto"/>
            <w:noWrap/>
            <w:tcMar>
              <w:top w:w="12" w:type="dxa"/>
              <w:left w:w="12" w:type="dxa"/>
              <w:right w:w="12" w:type="dxa"/>
            </w:tcMar>
            <w:vAlign w:val="center"/>
          </w:tcPr>
          <w:p w14:paraId="7BA2E0D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41B7CCE3">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95" w:type="pct"/>
            <w:tcBorders>
              <w:tl2br w:val="nil"/>
              <w:tr2bl w:val="nil"/>
            </w:tcBorders>
            <w:shd w:val="clear" w:color="auto" w:fill="auto"/>
            <w:tcMar>
              <w:top w:w="12" w:type="dxa"/>
              <w:left w:w="12" w:type="dxa"/>
              <w:right w:w="12" w:type="dxa"/>
            </w:tcMar>
            <w:vAlign w:val="center"/>
          </w:tcPr>
          <w:p w14:paraId="3F7A8410">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考试</w:t>
            </w:r>
          </w:p>
        </w:tc>
        <w:tc>
          <w:tcPr>
            <w:tcW w:w="327" w:type="pct"/>
            <w:tcBorders>
              <w:tl2br w:val="nil"/>
              <w:tr2bl w:val="nil"/>
            </w:tcBorders>
            <w:shd w:val="clear" w:color="auto" w:fill="auto"/>
            <w:tcMar>
              <w:top w:w="12" w:type="dxa"/>
              <w:left w:w="12" w:type="dxa"/>
              <w:right w:w="12" w:type="dxa"/>
            </w:tcMar>
            <w:vAlign w:val="center"/>
          </w:tcPr>
          <w:p w14:paraId="1F82EB8E">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tcMar>
              <w:top w:w="12" w:type="dxa"/>
              <w:left w:w="12" w:type="dxa"/>
              <w:right w:w="12" w:type="dxa"/>
            </w:tcMar>
            <w:vAlign w:val="center"/>
          </w:tcPr>
          <w:p w14:paraId="1111C39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C786EB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F7179A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F3D679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A8BAA5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1224246065</w:t>
            </w:r>
          </w:p>
        </w:tc>
        <w:tc>
          <w:tcPr>
            <w:tcW w:w="1250" w:type="pct"/>
            <w:tcBorders>
              <w:tl2br w:val="nil"/>
              <w:tr2bl w:val="nil"/>
            </w:tcBorders>
            <w:shd w:val="clear" w:color="auto" w:fill="auto"/>
            <w:tcMar>
              <w:top w:w="12" w:type="dxa"/>
              <w:left w:w="12" w:type="dxa"/>
              <w:right w:w="12" w:type="dxa"/>
            </w:tcMar>
            <w:vAlign w:val="center"/>
          </w:tcPr>
          <w:p w14:paraId="24755D0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新能源汽车综合性能检测与故障诊断</w:t>
            </w:r>
          </w:p>
          <w:p w14:paraId="2580534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Comprehensive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 xml:space="preserve">erformance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 xml:space="preserve">esting and </w:t>
            </w:r>
            <w:r>
              <w:rPr>
                <w:rFonts w:hint="eastAsia" w:ascii="Times New Roman" w:hAnsi="Times New Roman" w:eastAsia="宋体" w:cs="Times New Roman"/>
                <w:bCs/>
                <w:kern w:val="0"/>
                <w:sz w:val="17"/>
                <w:szCs w:val="17"/>
                <w:lang w:val="en-US" w:eastAsia="zh-CN" w:bidi="ar"/>
              </w:rPr>
              <w:t>F</w:t>
            </w:r>
            <w:r>
              <w:rPr>
                <w:rFonts w:hint="default" w:ascii="Times New Roman" w:hAnsi="Times New Roman" w:eastAsia="宋体" w:cs="Times New Roman"/>
                <w:bCs/>
                <w:kern w:val="0"/>
                <w:sz w:val="17"/>
                <w:szCs w:val="17"/>
                <w:lang w:val="en-US" w:eastAsia="zh-CN" w:bidi="ar"/>
              </w:rPr>
              <w:t xml:space="preserve">ault </w:t>
            </w:r>
            <w:r>
              <w:rPr>
                <w:rFonts w:hint="eastAsia" w:ascii="Times New Roman" w:hAnsi="Times New Roman" w:eastAsia="宋体" w:cs="Times New Roman"/>
                <w:bCs/>
                <w:kern w:val="0"/>
                <w:sz w:val="17"/>
                <w:szCs w:val="17"/>
                <w:lang w:val="en-US" w:eastAsia="zh-CN" w:bidi="ar"/>
              </w:rPr>
              <w:t>D</w:t>
            </w:r>
            <w:r>
              <w:rPr>
                <w:rFonts w:hint="default" w:ascii="Times New Roman" w:hAnsi="Times New Roman" w:eastAsia="宋体" w:cs="Times New Roman"/>
                <w:bCs/>
                <w:kern w:val="0"/>
                <w:sz w:val="17"/>
                <w:szCs w:val="17"/>
                <w:lang w:val="en-US" w:eastAsia="zh-CN" w:bidi="ar"/>
              </w:rPr>
              <w:t xml:space="preserve">iagnosis of </w:t>
            </w:r>
            <w:r>
              <w:rPr>
                <w:rFonts w:hint="eastAsia" w:ascii="Times New Roman" w:hAnsi="Times New Roman" w:eastAsia="宋体" w:cs="Times New Roman"/>
                <w:bCs/>
                <w:kern w:val="0"/>
                <w:sz w:val="17"/>
                <w:szCs w:val="17"/>
                <w:lang w:val="en-US" w:eastAsia="zh-CN" w:bidi="ar"/>
              </w:rPr>
              <w:t>N</w:t>
            </w:r>
            <w:r>
              <w:rPr>
                <w:rFonts w:hint="default" w:ascii="Times New Roman" w:hAnsi="Times New Roman" w:eastAsia="宋体" w:cs="Times New Roman"/>
                <w:bCs/>
                <w:kern w:val="0"/>
                <w:sz w:val="17"/>
                <w:szCs w:val="17"/>
                <w:lang w:val="en-US" w:eastAsia="zh-CN" w:bidi="ar"/>
              </w:rPr>
              <w:t xml:space="preserve">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ehicles</w:t>
            </w:r>
          </w:p>
        </w:tc>
        <w:tc>
          <w:tcPr>
            <w:tcW w:w="306" w:type="pct"/>
            <w:tcBorders>
              <w:tl2br w:val="nil"/>
              <w:tr2bl w:val="nil"/>
            </w:tcBorders>
            <w:shd w:val="clear" w:color="auto" w:fill="auto"/>
            <w:tcMar>
              <w:top w:w="12" w:type="dxa"/>
              <w:left w:w="12" w:type="dxa"/>
              <w:right w:w="12" w:type="dxa"/>
            </w:tcMar>
            <w:vAlign w:val="center"/>
          </w:tcPr>
          <w:p w14:paraId="5CE7828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2.5</w:t>
            </w:r>
          </w:p>
        </w:tc>
        <w:tc>
          <w:tcPr>
            <w:tcW w:w="248" w:type="pct"/>
            <w:tcBorders>
              <w:tl2br w:val="nil"/>
              <w:tr2bl w:val="nil"/>
            </w:tcBorders>
            <w:shd w:val="clear" w:color="auto" w:fill="auto"/>
            <w:tcMar>
              <w:top w:w="12" w:type="dxa"/>
              <w:left w:w="12" w:type="dxa"/>
              <w:right w:w="12" w:type="dxa"/>
            </w:tcMar>
            <w:vAlign w:val="center"/>
          </w:tcPr>
          <w:p w14:paraId="78220EE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40</w:t>
            </w:r>
          </w:p>
        </w:tc>
        <w:tc>
          <w:tcPr>
            <w:tcW w:w="285" w:type="pct"/>
            <w:tcBorders>
              <w:tl2br w:val="nil"/>
              <w:tr2bl w:val="nil"/>
            </w:tcBorders>
            <w:shd w:val="clear" w:color="auto" w:fill="auto"/>
            <w:noWrap/>
            <w:tcMar>
              <w:top w:w="12" w:type="dxa"/>
              <w:left w:w="12" w:type="dxa"/>
              <w:right w:w="12" w:type="dxa"/>
            </w:tcMar>
            <w:vAlign w:val="center"/>
          </w:tcPr>
          <w:p w14:paraId="7083EB7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35485A88">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95" w:type="pct"/>
            <w:tcBorders>
              <w:tl2br w:val="nil"/>
              <w:tr2bl w:val="nil"/>
            </w:tcBorders>
            <w:shd w:val="clear" w:color="auto" w:fill="auto"/>
            <w:tcMar>
              <w:top w:w="12" w:type="dxa"/>
              <w:left w:w="12" w:type="dxa"/>
              <w:right w:w="12" w:type="dxa"/>
            </w:tcMar>
            <w:vAlign w:val="center"/>
          </w:tcPr>
          <w:p w14:paraId="6394BF30">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w:t>
            </w:r>
            <w:r>
              <w:rPr>
                <w:rFonts w:hint="eastAsia" w:ascii="Times New Roman" w:hAnsi="Times New Roman" w:eastAsia="宋体" w:cs="Times New Roman"/>
                <w:color w:val="auto"/>
                <w:sz w:val="18"/>
                <w:szCs w:val="18"/>
                <w:highlight w:val="none"/>
                <w:lang w:val="en-US" w:eastAsia="zh-CN"/>
              </w:rPr>
              <w:t>试</w:t>
            </w:r>
          </w:p>
        </w:tc>
        <w:tc>
          <w:tcPr>
            <w:tcW w:w="327" w:type="pct"/>
            <w:tcBorders>
              <w:tl2br w:val="nil"/>
              <w:tr2bl w:val="nil"/>
            </w:tcBorders>
            <w:shd w:val="clear" w:color="auto" w:fill="auto"/>
            <w:tcMar>
              <w:top w:w="12" w:type="dxa"/>
              <w:left w:w="12" w:type="dxa"/>
              <w:right w:w="12" w:type="dxa"/>
            </w:tcMar>
            <w:vAlign w:val="center"/>
          </w:tcPr>
          <w:p w14:paraId="17416CAE">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tcMar>
              <w:top w:w="12" w:type="dxa"/>
              <w:left w:w="12" w:type="dxa"/>
              <w:right w:w="12" w:type="dxa"/>
            </w:tcMar>
            <w:vAlign w:val="center"/>
          </w:tcPr>
          <w:p w14:paraId="0DBF7B7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41CA66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30694A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C6094E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26993F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rPr>
              <w:t>1224246066</w:t>
            </w:r>
          </w:p>
        </w:tc>
        <w:tc>
          <w:tcPr>
            <w:tcW w:w="1250" w:type="pct"/>
            <w:tcBorders>
              <w:tl2br w:val="nil"/>
              <w:tr2bl w:val="nil"/>
            </w:tcBorders>
            <w:shd w:val="clear" w:color="auto" w:fill="auto"/>
            <w:tcMar>
              <w:top w:w="12" w:type="dxa"/>
              <w:left w:w="12" w:type="dxa"/>
              <w:right w:w="12" w:type="dxa"/>
            </w:tcMar>
            <w:vAlign w:val="center"/>
          </w:tcPr>
          <w:p w14:paraId="6167FF6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新能源汽车整车控制技术</w:t>
            </w:r>
          </w:p>
          <w:p w14:paraId="48128914">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W</w:t>
            </w:r>
            <w:r>
              <w:rPr>
                <w:rFonts w:hint="default" w:ascii="Times New Roman" w:hAnsi="Times New Roman" w:eastAsia="宋体" w:cs="Times New Roman"/>
                <w:bCs/>
                <w:kern w:val="0"/>
                <w:sz w:val="17"/>
                <w:szCs w:val="17"/>
                <w:lang w:val="en-US" w:eastAsia="zh-CN" w:bidi="ar"/>
              </w:rPr>
              <w:t xml:space="preserve">hole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ontrol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25FEE78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2.5</w:t>
            </w:r>
          </w:p>
        </w:tc>
        <w:tc>
          <w:tcPr>
            <w:tcW w:w="248" w:type="pct"/>
            <w:tcBorders>
              <w:tl2br w:val="nil"/>
              <w:tr2bl w:val="nil"/>
            </w:tcBorders>
            <w:shd w:val="clear" w:color="auto" w:fill="auto"/>
            <w:tcMar>
              <w:top w:w="12" w:type="dxa"/>
              <w:left w:w="12" w:type="dxa"/>
              <w:right w:w="12" w:type="dxa"/>
            </w:tcMar>
            <w:vAlign w:val="center"/>
          </w:tcPr>
          <w:p w14:paraId="3616C32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40</w:t>
            </w:r>
          </w:p>
        </w:tc>
        <w:tc>
          <w:tcPr>
            <w:tcW w:w="285" w:type="pct"/>
            <w:tcBorders>
              <w:tl2br w:val="nil"/>
              <w:tr2bl w:val="nil"/>
            </w:tcBorders>
            <w:shd w:val="clear" w:color="auto" w:fill="auto"/>
            <w:noWrap/>
            <w:tcMar>
              <w:top w:w="12" w:type="dxa"/>
              <w:left w:w="12" w:type="dxa"/>
              <w:right w:w="12" w:type="dxa"/>
            </w:tcMar>
            <w:vAlign w:val="center"/>
          </w:tcPr>
          <w:p w14:paraId="3E13BC8F">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53653FBA">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95" w:type="pct"/>
            <w:tcBorders>
              <w:tl2br w:val="nil"/>
              <w:tr2bl w:val="nil"/>
            </w:tcBorders>
            <w:shd w:val="clear" w:color="auto" w:fill="auto"/>
            <w:tcMar>
              <w:top w:w="12" w:type="dxa"/>
              <w:left w:w="12" w:type="dxa"/>
              <w:right w:w="12" w:type="dxa"/>
            </w:tcMar>
            <w:vAlign w:val="center"/>
          </w:tcPr>
          <w:p w14:paraId="03DF0AAC">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考试</w:t>
            </w:r>
          </w:p>
        </w:tc>
        <w:tc>
          <w:tcPr>
            <w:tcW w:w="327" w:type="pct"/>
            <w:tcBorders>
              <w:tl2br w:val="nil"/>
              <w:tr2bl w:val="nil"/>
            </w:tcBorders>
            <w:shd w:val="clear" w:color="auto" w:fill="auto"/>
            <w:tcMar>
              <w:top w:w="12" w:type="dxa"/>
              <w:left w:w="12" w:type="dxa"/>
              <w:right w:w="12" w:type="dxa"/>
            </w:tcMar>
            <w:vAlign w:val="center"/>
          </w:tcPr>
          <w:p w14:paraId="08AAF2E6">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5</w:t>
            </w:r>
          </w:p>
        </w:tc>
        <w:tc>
          <w:tcPr>
            <w:tcW w:w="811" w:type="pct"/>
            <w:tcBorders>
              <w:tl2br w:val="nil"/>
              <w:tr2bl w:val="nil"/>
            </w:tcBorders>
            <w:shd w:val="clear" w:color="auto" w:fill="auto"/>
            <w:tcMar>
              <w:top w:w="12" w:type="dxa"/>
              <w:left w:w="12" w:type="dxa"/>
              <w:right w:w="12" w:type="dxa"/>
            </w:tcMar>
            <w:vAlign w:val="top"/>
          </w:tcPr>
          <w:p w14:paraId="565F52A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54D08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EE6B39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058238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7D18AB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1224546008</w:t>
            </w:r>
          </w:p>
        </w:tc>
        <w:tc>
          <w:tcPr>
            <w:tcW w:w="1250" w:type="pct"/>
            <w:tcBorders>
              <w:tl2br w:val="nil"/>
              <w:tr2bl w:val="nil"/>
            </w:tcBorders>
            <w:shd w:val="clear" w:color="auto" w:fill="auto"/>
            <w:tcMar>
              <w:top w:w="12" w:type="dxa"/>
              <w:left w:w="12" w:type="dxa"/>
              <w:right w:w="12" w:type="dxa"/>
            </w:tcMar>
            <w:vAlign w:val="center"/>
          </w:tcPr>
          <w:p w14:paraId="552F160F">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汽车拆装实训</w:t>
            </w:r>
          </w:p>
          <w:p w14:paraId="6BA0E88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 </w:t>
            </w:r>
            <w:r>
              <w:rPr>
                <w:rFonts w:hint="eastAsia" w:ascii="Times New Roman" w:hAnsi="Times New Roman" w:eastAsia="宋体" w:cs="Times New Roman"/>
                <w:bCs/>
                <w:kern w:val="0"/>
                <w:sz w:val="17"/>
                <w:szCs w:val="17"/>
                <w:lang w:val="en-US" w:eastAsia="zh-CN" w:bidi="ar"/>
              </w:rPr>
              <w:t>D</w:t>
            </w:r>
            <w:r>
              <w:rPr>
                <w:rFonts w:hint="default" w:ascii="Times New Roman" w:hAnsi="Times New Roman" w:eastAsia="宋体" w:cs="Times New Roman"/>
                <w:bCs/>
                <w:kern w:val="0"/>
                <w:sz w:val="17"/>
                <w:szCs w:val="17"/>
                <w:lang w:val="en-US" w:eastAsia="zh-CN" w:bidi="ar"/>
              </w:rPr>
              <w:t xml:space="preserve">isassembly and </w:t>
            </w:r>
            <w:r>
              <w:rPr>
                <w:rFonts w:hint="eastAsia" w:ascii="Times New Roman" w:hAnsi="Times New Roman" w:eastAsia="宋体" w:cs="Times New Roman"/>
                <w:bCs/>
                <w:kern w:val="0"/>
                <w:sz w:val="17"/>
                <w:szCs w:val="17"/>
                <w:lang w:val="en-US" w:eastAsia="zh-CN" w:bidi="ar"/>
              </w:rPr>
              <w:t>I</w:t>
            </w:r>
            <w:r>
              <w:rPr>
                <w:rFonts w:hint="default" w:ascii="Times New Roman" w:hAnsi="Times New Roman" w:eastAsia="宋体" w:cs="Times New Roman"/>
                <w:bCs/>
                <w:kern w:val="0"/>
                <w:sz w:val="17"/>
                <w:szCs w:val="17"/>
                <w:lang w:val="en-US" w:eastAsia="zh-CN" w:bidi="ar"/>
              </w:rPr>
              <w:t xml:space="preserve">nstallation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raining</w:t>
            </w:r>
          </w:p>
        </w:tc>
        <w:tc>
          <w:tcPr>
            <w:tcW w:w="306" w:type="pct"/>
            <w:tcBorders>
              <w:tl2br w:val="nil"/>
              <w:tr2bl w:val="nil"/>
            </w:tcBorders>
            <w:shd w:val="clear" w:color="auto" w:fill="auto"/>
            <w:tcMar>
              <w:top w:w="12" w:type="dxa"/>
              <w:left w:w="12" w:type="dxa"/>
              <w:right w:w="12" w:type="dxa"/>
            </w:tcMar>
            <w:vAlign w:val="center"/>
          </w:tcPr>
          <w:p w14:paraId="09E623E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248" w:type="pct"/>
            <w:tcBorders>
              <w:tl2br w:val="nil"/>
              <w:tr2bl w:val="nil"/>
            </w:tcBorders>
            <w:shd w:val="clear" w:color="auto" w:fill="auto"/>
            <w:tcMar>
              <w:top w:w="12" w:type="dxa"/>
              <w:left w:w="12" w:type="dxa"/>
              <w:right w:w="12" w:type="dxa"/>
            </w:tcMar>
            <w:vAlign w:val="center"/>
          </w:tcPr>
          <w:p w14:paraId="4A6F169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054361A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1536BDDD">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0FF0BA30">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3C6A2BB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811" w:type="pct"/>
            <w:tcBorders>
              <w:tl2br w:val="nil"/>
              <w:tr2bl w:val="nil"/>
            </w:tcBorders>
            <w:shd w:val="clear" w:color="auto" w:fill="auto"/>
            <w:tcMar>
              <w:top w:w="12" w:type="dxa"/>
              <w:left w:w="12" w:type="dxa"/>
              <w:right w:w="12" w:type="dxa"/>
            </w:tcMar>
            <w:vAlign w:val="top"/>
          </w:tcPr>
          <w:p w14:paraId="4AA9170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43CC46F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D268C1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FAB4B5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7C2486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1224546009</w:t>
            </w:r>
          </w:p>
        </w:tc>
        <w:tc>
          <w:tcPr>
            <w:tcW w:w="1250" w:type="pct"/>
            <w:tcBorders>
              <w:tl2br w:val="nil"/>
              <w:tr2bl w:val="nil"/>
            </w:tcBorders>
            <w:shd w:val="clear" w:color="auto" w:fill="auto"/>
            <w:tcMar>
              <w:top w:w="12" w:type="dxa"/>
              <w:left w:w="12" w:type="dxa"/>
              <w:right w:w="12" w:type="dxa"/>
            </w:tcMar>
            <w:vAlign w:val="center"/>
          </w:tcPr>
          <w:p w14:paraId="66B35067">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新能源汽车维修实训</w:t>
            </w:r>
          </w:p>
          <w:p w14:paraId="734B504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 xml:space="preserve">aintenance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raining</w:t>
            </w:r>
          </w:p>
        </w:tc>
        <w:tc>
          <w:tcPr>
            <w:tcW w:w="306" w:type="pct"/>
            <w:tcBorders>
              <w:tl2br w:val="nil"/>
              <w:tr2bl w:val="nil"/>
            </w:tcBorders>
            <w:shd w:val="clear" w:color="auto" w:fill="auto"/>
            <w:tcMar>
              <w:top w:w="12" w:type="dxa"/>
              <w:left w:w="12" w:type="dxa"/>
              <w:right w:w="12" w:type="dxa"/>
            </w:tcMar>
            <w:vAlign w:val="center"/>
          </w:tcPr>
          <w:p w14:paraId="734F7CD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583843A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60</w:t>
            </w:r>
          </w:p>
        </w:tc>
        <w:tc>
          <w:tcPr>
            <w:tcW w:w="285" w:type="pct"/>
            <w:tcBorders>
              <w:tl2br w:val="nil"/>
              <w:tr2bl w:val="nil"/>
            </w:tcBorders>
            <w:shd w:val="clear" w:color="auto" w:fill="auto"/>
            <w:noWrap/>
            <w:tcMar>
              <w:top w:w="12" w:type="dxa"/>
              <w:left w:w="12" w:type="dxa"/>
              <w:right w:w="12" w:type="dxa"/>
            </w:tcMar>
            <w:vAlign w:val="center"/>
          </w:tcPr>
          <w:p w14:paraId="02D6D6E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0CECAAEA">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60</w:t>
            </w:r>
          </w:p>
        </w:tc>
        <w:tc>
          <w:tcPr>
            <w:tcW w:w="295" w:type="pct"/>
            <w:tcBorders>
              <w:tl2br w:val="nil"/>
              <w:tr2bl w:val="nil"/>
            </w:tcBorders>
            <w:shd w:val="clear" w:color="auto" w:fill="auto"/>
            <w:tcMar>
              <w:top w:w="12" w:type="dxa"/>
              <w:left w:w="12" w:type="dxa"/>
              <w:right w:w="12" w:type="dxa"/>
            </w:tcMar>
            <w:vAlign w:val="center"/>
          </w:tcPr>
          <w:p w14:paraId="1DEC4CB2">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25C9AC3A">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tcMar>
              <w:top w:w="12" w:type="dxa"/>
              <w:left w:w="12" w:type="dxa"/>
              <w:right w:w="12" w:type="dxa"/>
            </w:tcMar>
            <w:vAlign w:val="top"/>
          </w:tcPr>
          <w:p w14:paraId="474583C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1AC715C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D17D6D7">
            <w:pPr>
              <w:keepNext w:val="0"/>
              <w:keepLines w:val="0"/>
              <w:pageBreakBefore w:val="0"/>
              <w:wordWrap/>
              <w:topLinePunct w:val="0"/>
              <w:bidi w:val="0"/>
              <w:adjustRightInd w:val="0"/>
              <w:spacing w:line="240" w:lineRule="auto"/>
              <w:ind w:left="0" w:leftChars="0" w:right="0" w:firstLine="0" w:firstLineChars="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561FC59">
            <w:pPr>
              <w:keepNext w:val="0"/>
              <w:keepLines w:val="0"/>
              <w:pageBreakBefore w:val="0"/>
              <w:wordWrap/>
              <w:topLinePunct w:val="0"/>
              <w:bidi w:val="0"/>
              <w:adjustRightInd w:val="0"/>
              <w:spacing w:line="240" w:lineRule="auto"/>
              <w:ind w:left="0" w:leftChars="0" w:right="0" w:firstLine="0" w:firstLineChars="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F232C1A">
            <w:pPr>
              <w:keepNext w:val="0"/>
              <w:keepLines w:val="0"/>
              <w:pageBreakBefore w:val="0"/>
              <w:widowControl/>
              <w:wordWrap/>
              <w:topLinePunct w:val="0"/>
              <w:bidi w:val="0"/>
              <w:spacing w:line="240" w:lineRule="auto"/>
              <w:ind w:left="0" w:leftChars="0" w:right="0" w:rightChars="0" w:firstLine="0" w:firstLineChars="0"/>
              <w:jc w:val="center"/>
              <w:textAlignment w:val="center"/>
              <w:rPr>
                <w:rFonts w:hint="eastAsia" w:ascii="Times New Roman" w:hAnsi="Times New Roman" w:eastAsia="宋体" w:cs="Times New Roman"/>
                <w:color w:val="auto"/>
                <w:kern w:val="2"/>
                <w:sz w:val="18"/>
                <w:szCs w:val="18"/>
                <w:highlight w:val="none"/>
                <w:lang w:val="en-US" w:eastAsia="zh-CN" w:bidi="ar-SA"/>
                <w:woUserID w:val="1"/>
              </w:rPr>
            </w:pPr>
            <w:r>
              <w:rPr>
                <w:rFonts w:hint="default" w:ascii="Times New Roman" w:hAnsi="Times New Roman" w:eastAsia="宋体" w:cs="Times New Roman"/>
                <w:color w:val="auto"/>
                <w:sz w:val="18"/>
                <w:szCs w:val="18"/>
                <w:highlight w:val="none"/>
                <w:woUserID w:val="1"/>
              </w:rPr>
              <w:t>1324659002</w:t>
            </w:r>
          </w:p>
        </w:tc>
        <w:tc>
          <w:tcPr>
            <w:tcW w:w="1250" w:type="pct"/>
            <w:tcBorders>
              <w:tl2br w:val="nil"/>
              <w:tr2bl w:val="nil"/>
            </w:tcBorders>
            <w:shd w:val="clear" w:color="auto" w:fill="auto"/>
            <w:tcMar>
              <w:top w:w="12" w:type="dxa"/>
              <w:left w:w="12" w:type="dxa"/>
              <w:right w:w="12" w:type="dxa"/>
            </w:tcMar>
            <w:vAlign w:val="center"/>
          </w:tcPr>
          <w:p w14:paraId="12737CD4">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eastAsia="zh-CN" w:bidi="ar"/>
                <w:woUserID w:val="1"/>
              </w:rPr>
            </w:pPr>
            <w:r>
              <w:rPr>
                <w:rFonts w:hint="default" w:ascii="Times New Roman" w:hAnsi="Times New Roman" w:eastAsia="宋体" w:cs="Times New Roman"/>
                <w:bCs/>
                <w:kern w:val="0"/>
                <w:sz w:val="17"/>
                <w:szCs w:val="17"/>
                <w:lang w:eastAsia="zh-CN" w:bidi="ar"/>
                <w:woUserID w:val="1"/>
              </w:rPr>
              <w:t>顶岗实习及毕业实践</w:t>
            </w:r>
          </w:p>
          <w:p w14:paraId="00EA2327">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val="en-US" w:eastAsia="zh-CN" w:bidi="ar"/>
                <w:woUserID w:val="1"/>
              </w:rPr>
            </w:pPr>
            <w:r>
              <w:rPr>
                <w:rFonts w:hint="default" w:ascii="Times New Roman" w:hAnsi="Times New Roman" w:eastAsia="宋体" w:cs="Times New Roman"/>
                <w:bCs/>
                <w:kern w:val="0"/>
                <w:sz w:val="17"/>
                <w:szCs w:val="17"/>
                <w:lang w:eastAsia="zh-CN" w:bidi="ar"/>
                <w:woUserID w:val="1"/>
              </w:rPr>
              <w:t>Job Internship and Graduation Practice</w:t>
            </w:r>
          </w:p>
        </w:tc>
        <w:tc>
          <w:tcPr>
            <w:tcW w:w="306" w:type="pct"/>
            <w:tcBorders>
              <w:tl2br w:val="nil"/>
              <w:tr2bl w:val="nil"/>
            </w:tcBorders>
            <w:shd w:val="clear" w:color="auto" w:fill="auto"/>
            <w:tcMar>
              <w:top w:w="12" w:type="dxa"/>
              <w:left w:w="12" w:type="dxa"/>
              <w:right w:w="12" w:type="dxa"/>
            </w:tcMar>
            <w:vAlign w:val="center"/>
          </w:tcPr>
          <w:p w14:paraId="4D70D036">
            <w:pPr>
              <w:keepNext w:val="0"/>
              <w:keepLines w:val="0"/>
              <w:pageBreakBefore w:val="0"/>
              <w:widowControl/>
              <w:wordWrap/>
              <w:topLinePunct w:val="0"/>
              <w:bidi w:val="0"/>
              <w:spacing w:line="240" w:lineRule="auto"/>
              <w:ind w:left="0" w:leftChars="0" w:right="0" w:rightChars="0" w:firstLine="0" w:firstLineChars="0"/>
              <w:jc w:val="center"/>
              <w:textAlignment w:val="center"/>
              <w:rPr>
                <w:rFonts w:hint="eastAsia" w:ascii="Times New Roman" w:hAnsi="Times New Roman" w:eastAsia="宋体" w:cs="Times New Roman"/>
                <w:color w:val="auto"/>
                <w:kern w:val="2"/>
                <w:sz w:val="18"/>
                <w:szCs w:val="18"/>
                <w:highlight w:val="none"/>
                <w:lang w:val="en-US" w:eastAsia="zh-CN" w:bidi="ar-SA"/>
                <w:woUserID w:val="1"/>
              </w:rPr>
            </w:pPr>
            <w:r>
              <w:rPr>
                <w:rFonts w:hint="default" w:ascii="Times New Roman" w:hAnsi="Times New Roman" w:eastAsia="宋体" w:cs="Times New Roman"/>
                <w:color w:val="auto"/>
                <w:sz w:val="18"/>
                <w:szCs w:val="18"/>
                <w:highlight w:val="none"/>
                <w:lang w:eastAsia="zh-CN"/>
                <w:woUserID w:val="1"/>
              </w:rPr>
              <w:t>28</w:t>
            </w:r>
          </w:p>
        </w:tc>
        <w:tc>
          <w:tcPr>
            <w:tcW w:w="248" w:type="pct"/>
            <w:tcBorders>
              <w:tl2br w:val="nil"/>
              <w:tr2bl w:val="nil"/>
            </w:tcBorders>
            <w:shd w:val="clear" w:color="auto" w:fill="auto"/>
            <w:tcMar>
              <w:top w:w="12" w:type="dxa"/>
              <w:left w:w="12" w:type="dxa"/>
              <w:right w:w="12" w:type="dxa"/>
            </w:tcMar>
            <w:vAlign w:val="center"/>
          </w:tcPr>
          <w:p w14:paraId="5CA41C25">
            <w:pPr>
              <w:keepNext w:val="0"/>
              <w:keepLines w:val="0"/>
              <w:pageBreakBefore w:val="0"/>
              <w:widowControl/>
              <w:wordWrap/>
              <w:topLinePunct w:val="0"/>
              <w:bidi w:val="0"/>
              <w:spacing w:line="240" w:lineRule="auto"/>
              <w:ind w:left="0" w:leftChars="0" w:right="0" w:rightChars="0" w:firstLine="0" w:firstLineChars="0"/>
              <w:jc w:val="center"/>
              <w:textAlignment w:val="center"/>
              <w:rPr>
                <w:rFonts w:hint="eastAsia" w:ascii="Times New Roman" w:hAnsi="Times New Roman" w:eastAsia="宋体" w:cs="Times New Roman"/>
                <w:color w:val="auto"/>
                <w:kern w:val="2"/>
                <w:sz w:val="18"/>
                <w:szCs w:val="18"/>
                <w:highlight w:val="none"/>
                <w:lang w:val="en-US" w:eastAsia="zh-CN" w:bidi="ar-SA"/>
                <w:woUserID w:val="1"/>
              </w:rPr>
            </w:pPr>
            <w:r>
              <w:rPr>
                <w:rFonts w:hint="default" w:ascii="Times New Roman" w:hAnsi="Times New Roman" w:eastAsia="宋体" w:cs="Times New Roman"/>
                <w:color w:val="auto"/>
                <w:sz w:val="18"/>
                <w:szCs w:val="18"/>
                <w:highlight w:val="none"/>
                <w:lang w:eastAsia="zh-CN"/>
                <w:woUserID w:val="1"/>
              </w:rPr>
              <w:t>840</w:t>
            </w:r>
          </w:p>
        </w:tc>
        <w:tc>
          <w:tcPr>
            <w:tcW w:w="285" w:type="pct"/>
            <w:tcBorders>
              <w:tl2br w:val="nil"/>
              <w:tr2bl w:val="nil"/>
            </w:tcBorders>
            <w:shd w:val="clear" w:color="auto" w:fill="auto"/>
            <w:noWrap/>
            <w:tcMar>
              <w:top w:w="12" w:type="dxa"/>
              <w:left w:w="12" w:type="dxa"/>
              <w:right w:w="12" w:type="dxa"/>
            </w:tcMar>
            <w:vAlign w:val="center"/>
          </w:tcPr>
          <w:p w14:paraId="3806EB62">
            <w:pPr>
              <w:keepNext w:val="0"/>
              <w:keepLines w:val="0"/>
              <w:pageBreakBefore w:val="0"/>
              <w:widowControl/>
              <w:wordWrap/>
              <w:topLinePunct w:val="0"/>
              <w:bidi w:val="0"/>
              <w:spacing w:line="240" w:lineRule="auto"/>
              <w:ind w:left="0" w:leftChars="0" w:right="0" w:rightChars="0" w:firstLine="0" w:firstLineChars="0"/>
              <w:jc w:val="center"/>
              <w:textAlignment w:val="center"/>
              <w:rPr>
                <w:rFonts w:hint="eastAsia" w:ascii="Times New Roman" w:hAnsi="Times New Roman" w:cs="Times New Roman" w:eastAsiaTheme="minorEastAsia"/>
                <w:bCs/>
                <w:kern w:val="0"/>
                <w:sz w:val="17"/>
                <w:szCs w:val="17"/>
                <w:highlight w:val="none"/>
                <w:lang w:val="en-US" w:eastAsia="zh-CN" w:bidi="ar-SA"/>
              </w:rPr>
            </w:pPr>
          </w:p>
        </w:tc>
        <w:tc>
          <w:tcPr>
            <w:tcW w:w="301" w:type="pct"/>
            <w:tcBorders>
              <w:tl2br w:val="nil"/>
              <w:tr2bl w:val="nil"/>
            </w:tcBorders>
            <w:shd w:val="clear" w:color="auto" w:fill="auto"/>
            <w:tcMar>
              <w:top w:w="12" w:type="dxa"/>
              <w:left w:w="12" w:type="dxa"/>
              <w:right w:w="12" w:type="dxa"/>
            </w:tcMar>
            <w:vAlign w:val="center"/>
          </w:tcPr>
          <w:p w14:paraId="3C2F7B1A">
            <w:pPr>
              <w:keepNext w:val="0"/>
              <w:keepLines w:val="0"/>
              <w:pageBreakBefore w:val="0"/>
              <w:wordWrap/>
              <w:topLinePunct w:val="0"/>
              <w:bidi w:val="0"/>
              <w:spacing w:line="240" w:lineRule="auto"/>
              <w:ind w:left="0" w:leftChars="0" w:right="0" w:rightChars="0" w:firstLine="0" w:firstLineChars="0"/>
              <w:jc w:val="center"/>
              <w:rPr>
                <w:rFonts w:hint="eastAsia" w:ascii="Times New Roman" w:hAnsi="Times New Roman" w:eastAsia="宋体" w:cs="Times New Roman"/>
                <w:color w:val="auto"/>
                <w:kern w:val="2"/>
                <w:sz w:val="18"/>
                <w:szCs w:val="18"/>
                <w:highlight w:val="none"/>
                <w:lang w:val="en-US" w:eastAsia="zh-CN" w:bidi="ar-SA"/>
                <w:woUserID w:val="1"/>
              </w:rPr>
            </w:pPr>
            <w:r>
              <w:rPr>
                <w:rFonts w:hint="default" w:ascii="Times New Roman" w:hAnsi="Times New Roman" w:eastAsia="宋体" w:cs="Times New Roman"/>
                <w:color w:val="auto"/>
                <w:sz w:val="18"/>
                <w:szCs w:val="18"/>
                <w:highlight w:val="none"/>
                <w:lang w:eastAsia="zh-CN"/>
                <w:woUserID w:val="1"/>
              </w:rPr>
              <w:t>840</w:t>
            </w:r>
          </w:p>
        </w:tc>
        <w:tc>
          <w:tcPr>
            <w:tcW w:w="295" w:type="pct"/>
            <w:tcBorders>
              <w:tl2br w:val="nil"/>
              <w:tr2bl w:val="nil"/>
            </w:tcBorders>
            <w:shd w:val="clear" w:color="auto" w:fill="auto"/>
            <w:tcMar>
              <w:top w:w="12" w:type="dxa"/>
              <w:left w:w="12" w:type="dxa"/>
              <w:right w:w="12" w:type="dxa"/>
            </w:tcMar>
            <w:vAlign w:val="center"/>
          </w:tcPr>
          <w:p w14:paraId="0DA551A7">
            <w:pPr>
              <w:keepNext w:val="0"/>
              <w:keepLines w:val="0"/>
              <w:pageBreakBefore w:val="0"/>
              <w:wordWrap/>
              <w:topLinePunct w:val="0"/>
              <w:bidi w:val="0"/>
              <w:spacing w:line="240" w:lineRule="auto"/>
              <w:ind w:left="0" w:leftChars="0" w:right="0" w:rightChars="0" w:firstLine="0" w:firstLineChars="0"/>
              <w:jc w:val="center"/>
              <w:rPr>
                <w:rFonts w:hint="default" w:ascii="Times New Roman" w:hAnsi="Times New Roman" w:eastAsia="宋体" w:cs="Times New Roman"/>
                <w:color w:val="auto"/>
                <w:kern w:val="2"/>
                <w:sz w:val="18"/>
                <w:szCs w:val="18"/>
                <w:highlight w:val="none"/>
                <w:lang w:val="en-US" w:eastAsia="zh-CN" w:bidi="ar-SA"/>
                <w:woUserID w:val="1"/>
              </w:rPr>
            </w:pPr>
            <w:r>
              <w:rPr>
                <w:rFonts w:ascii="Times New Roman" w:hAnsi="Times New Roman" w:eastAsia="宋体" w:cs="Times New Roman"/>
                <w:color w:val="auto"/>
                <w:sz w:val="18"/>
                <w:szCs w:val="18"/>
                <w:highlight w:val="none"/>
                <w:woUserID w:val="1"/>
              </w:rPr>
              <w:t>考查</w:t>
            </w:r>
          </w:p>
        </w:tc>
        <w:tc>
          <w:tcPr>
            <w:tcW w:w="327" w:type="pct"/>
            <w:tcBorders>
              <w:tl2br w:val="nil"/>
              <w:tr2bl w:val="nil"/>
            </w:tcBorders>
            <w:shd w:val="clear" w:color="auto" w:fill="auto"/>
            <w:tcMar>
              <w:top w:w="12" w:type="dxa"/>
              <w:left w:w="12" w:type="dxa"/>
              <w:right w:w="12" w:type="dxa"/>
            </w:tcMar>
            <w:vAlign w:val="center"/>
          </w:tcPr>
          <w:p w14:paraId="3D646B13">
            <w:pPr>
              <w:keepNext w:val="0"/>
              <w:keepLines w:val="0"/>
              <w:pageBreakBefore w:val="0"/>
              <w:wordWrap/>
              <w:topLinePunct w:val="0"/>
              <w:bidi w:val="0"/>
              <w:spacing w:line="240" w:lineRule="auto"/>
              <w:ind w:left="0" w:leftChars="0" w:right="0" w:rightChars="0" w:firstLine="0" w:firstLineChars="0"/>
              <w:jc w:val="center"/>
              <w:rPr>
                <w:rFonts w:hint="eastAsia" w:ascii="Times New Roman" w:hAnsi="Times New Roman" w:eastAsia="宋体" w:cs="Times New Roman"/>
                <w:color w:val="auto"/>
                <w:kern w:val="2"/>
                <w:sz w:val="18"/>
                <w:szCs w:val="18"/>
                <w:highlight w:val="none"/>
                <w:lang w:val="en-US" w:eastAsia="zh-CN" w:bidi="ar-SA"/>
              </w:rPr>
            </w:pPr>
            <w:r>
              <w:rPr>
                <w:rFonts w:hint="eastAsia" w:ascii="Times New Roman" w:hAnsi="Times New Roman" w:eastAsia="宋体" w:cs="Times New Roman"/>
                <w:color w:val="auto"/>
                <w:sz w:val="18"/>
                <w:szCs w:val="18"/>
                <w:highlight w:val="none"/>
                <w:lang w:val="en-US" w:eastAsia="zh-CN"/>
                <w:woUserID w:val="1"/>
              </w:rPr>
              <w:t>5-6</w:t>
            </w:r>
          </w:p>
        </w:tc>
        <w:tc>
          <w:tcPr>
            <w:tcW w:w="811" w:type="pct"/>
            <w:tcBorders>
              <w:tl2br w:val="nil"/>
              <w:tr2bl w:val="nil"/>
            </w:tcBorders>
            <w:shd w:val="clear" w:color="auto" w:fill="auto"/>
            <w:tcMar>
              <w:top w:w="12" w:type="dxa"/>
              <w:left w:w="12" w:type="dxa"/>
              <w:right w:w="12" w:type="dxa"/>
            </w:tcMar>
            <w:vAlign w:val="top"/>
          </w:tcPr>
          <w:p w14:paraId="3BC907E4">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cs="Times New Roman"/>
                <w:bCs/>
                <w:kern w:val="0"/>
                <w:sz w:val="17"/>
                <w:szCs w:val="17"/>
                <w:highlight w:val="none"/>
                <w:lang w:val="en-US" w:eastAsia="zh-CN"/>
              </w:rPr>
            </w:pPr>
          </w:p>
        </w:tc>
      </w:tr>
      <w:tr w14:paraId="5EB369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A15AB7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81CC54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1895" w:type="pct"/>
            <w:gridSpan w:val="2"/>
            <w:tcBorders>
              <w:tl2br w:val="nil"/>
              <w:tr2bl w:val="nil"/>
            </w:tcBorders>
            <w:shd w:val="clear" w:color="auto" w:fill="auto"/>
            <w:tcMar>
              <w:top w:w="12" w:type="dxa"/>
              <w:left w:w="12" w:type="dxa"/>
              <w:right w:w="12" w:type="dxa"/>
            </w:tcMar>
            <w:vAlign w:val="center"/>
          </w:tcPr>
          <w:p w14:paraId="55CA739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tcMar>
              <w:top w:w="12" w:type="dxa"/>
              <w:left w:w="12" w:type="dxa"/>
              <w:right w:w="12" w:type="dxa"/>
            </w:tcMar>
            <w:vAlign w:val="center"/>
          </w:tcPr>
          <w:p w14:paraId="644268C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b/>
                <w:bCs/>
                <w:color w:val="auto"/>
                <w:kern w:val="0"/>
                <w:sz w:val="18"/>
                <w:szCs w:val="18"/>
                <w:highlight w:val="none"/>
                <w:lang w:val="en-US" w:eastAsia="zh-CN" w:bidi="ar"/>
              </w:rPr>
            </w:pPr>
            <w:r>
              <w:rPr>
                <w:rFonts w:hint="eastAsia" w:ascii="Times New Roman" w:hAnsi="Times New Roman" w:eastAsia="宋体" w:cs="Times New Roman"/>
                <w:b/>
                <w:bCs/>
                <w:color w:val="auto"/>
                <w:kern w:val="0"/>
                <w:sz w:val="18"/>
                <w:szCs w:val="18"/>
                <w:highlight w:val="none"/>
                <w:lang w:val="en-US" w:eastAsia="zh-CN" w:bidi="ar"/>
              </w:rPr>
              <w:t>47.5</w:t>
            </w:r>
          </w:p>
        </w:tc>
        <w:tc>
          <w:tcPr>
            <w:tcW w:w="248" w:type="pct"/>
            <w:tcBorders>
              <w:tl2br w:val="nil"/>
              <w:tr2bl w:val="nil"/>
            </w:tcBorders>
            <w:shd w:val="clear" w:color="auto" w:fill="auto"/>
            <w:tcMar>
              <w:top w:w="12" w:type="dxa"/>
              <w:left w:w="12" w:type="dxa"/>
              <w:right w:w="12" w:type="dxa"/>
            </w:tcMar>
            <w:vAlign w:val="center"/>
          </w:tcPr>
          <w:p w14:paraId="110B0B1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b/>
                <w:bCs/>
                <w:color w:val="auto"/>
                <w:kern w:val="0"/>
                <w:sz w:val="18"/>
                <w:szCs w:val="18"/>
                <w:highlight w:val="none"/>
                <w:lang w:val="en-US" w:eastAsia="zh-CN" w:bidi="ar"/>
              </w:rPr>
            </w:pPr>
            <w:r>
              <w:rPr>
                <w:rFonts w:hint="eastAsia" w:ascii="Times New Roman" w:hAnsi="Times New Roman" w:eastAsia="宋体" w:cs="Times New Roman"/>
                <w:b/>
                <w:bCs/>
                <w:color w:val="auto"/>
                <w:kern w:val="0"/>
                <w:sz w:val="18"/>
                <w:szCs w:val="18"/>
                <w:highlight w:val="none"/>
                <w:lang w:val="en-US" w:eastAsia="zh-CN" w:bidi="ar"/>
              </w:rPr>
              <w:t>1194</w:t>
            </w:r>
          </w:p>
        </w:tc>
        <w:tc>
          <w:tcPr>
            <w:tcW w:w="285" w:type="pct"/>
            <w:tcBorders>
              <w:tl2br w:val="nil"/>
              <w:tr2bl w:val="nil"/>
            </w:tcBorders>
            <w:shd w:val="clear" w:color="auto" w:fill="auto"/>
            <w:tcMar>
              <w:top w:w="12" w:type="dxa"/>
              <w:left w:w="12" w:type="dxa"/>
              <w:right w:w="12" w:type="dxa"/>
            </w:tcMar>
            <w:vAlign w:val="center"/>
          </w:tcPr>
          <w:p w14:paraId="75EBF8C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b/>
                <w:bCs/>
                <w:color w:val="auto"/>
                <w:kern w:val="0"/>
                <w:sz w:val="18"/>
                <w:szCs w:val="18"/>
                <w:highlight w:val="none"/>
                <w:lang w:val="en-US" w:eastAsia="zh-CN" w:bidi="ar"/>
              </w:rPr>
            </w:pPr>
            <w:r>
              <w:rPr>
                <w:rFonts w:hint="eastAsia" w:ascii="Times New Roman" w:hAnsi="Times New Roman" w:eastAsia="宋体" w:cs="Times New Roman"/>
                <w:b/>
                <w:bCs/>
                <w:color w:val="auto"/>
                <w:kern w:val="0"/>
                <w:sz w:val="18"/>
                <w:szCs w:val="18"/>
                <w:highlight w:val="none"/>
                <w:lang w:val="en-US" w:eastAsia="zh-CN" w:bidi="ar"/>
              </w:rPr>
              <w:t>168</w:t>
            </w:r>
          </w:p>
        </w:tc>
        <w:tc>
          <w:tcPr>
            <w:tcW w:w="301" w:type="pct"/>
            <w:tcBorders>
              <w:tl2br w:val="nil"/>
              <w:tr2bl w:val="nil"/>
            </w:tcBorders>
            <w:shd w:val="clear" w:color="auto" w:fill="auto"/>
            <w:tcMar>
              <w:top w:w="12" w:type="dxa"/>
              <w:left w:w="12" w:type="dxa"/>
              <w:right w:w="12" w:type="dxa"/>
            </w:tcMar>
            <w:vAlign w:val="center"/>
          </w:tcPr>
          <w:p w14:paraId="3907E30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eastAsia="宋体" w:cs="Times New Roman"/>
                <w:b/>
                <w:bCs/>
                <w:color w:val="auto"/>
                <w:kern w:val="0"/>
                <w:sz w:val="18"/>
                <w:szCs w:val="18"/>
                <w:highlight w:val="none"/>
                <w:lang w:val="en-US" w:eastAsia="zh-CN" w:bidi="ar"/>
              </w:rPr>
            </w:pPr>
            <w:r>
              <w:rPr>
                <w:rFonts w:hint="eastAsia" w:ascii="Times New Roman" w:hAnsi="Times New Roman" w:eastAsia="宋体" w:cs="Times New Roman"/>
                <w:b/>
                <w:bCs/>
                <w:color w:val="auto"/>
                <w:kern w:val="0"/>
                <w:sz w:val="18"/>
                <w:szCs w:val="18"/>
                <w:highlight w:val="none"/>
                <w:lang w:val="en-US" w:eastAsia="zh-CN" w:bidi="ar"/>
              </w:rPr>
              <w:t>1026</w:t>
            </w:r>
          </w:p>
        </w:tc>
        <w:tc>
          <w:tcPr>
            <w:tcW w:w="295" w:type="pct"/>
            <w:tcBorders>
              <w:tl2br w:val="nil"/>
              <w:tr2bl w:val="nil"/>
            </w:tcBorders>
            <w:shd w:val="clear" w:color="auto" w:fill="auto"/>
            <w:tcMar>
              <w:top w:w="12" w:type="dxa"/>
              <w:left w:w="12" w:type="dxa"/>
              <w:right w:w="12" w:type="dxa"/>
            </w:tcMar>
            <w:vAlign w:val="center"/>
          </w:tcPr>
          <w:p w14:paraId="09687DE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166D04F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811" w:type="pct"/>
            <w:tcBorders>
              <w:tl2br w:val="nil"/>
              <w:tr2bl w:val="nil"/>
            </w:tcBorders>
            <w:shd w:val="clear" w:color="auto" w:fill="auto"/>
            <w:tcMar>
              <w:top w:w="12" w:type="dxa"/>
              <w:left w:w="12" w:type="dxa"/>
              <w:right w:w="12" w:type="dxa"/>
            </w:tcMar>
            <w:vAlign w:val="center"/>
          </w:tcPr>
          <w:p w14:paraId="1E41F94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77E56F8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5206E0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08CEB45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21E7C03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限选</w:t>
            </w:r>
          </w:p>
          <w:p w14:paraId="0515389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课程</w:t>
            </w:r>
          </w:p>
        </w:tc>
        <w:tc>
          <w:tcPr>
            <w:tcW w:w="645" w:type="pct"/>
            <w:tcBorders>
              <w:tl2br w:val="nil"/>
              <w:tr2bl w:val="nil"/>
            </w:tcBorders>
            <w:shd w:val="clear" w:color="auto" w:fill="auto"/>
            <w:tcMar>
              <w:top w:w="12" w:type="dxa"/>
              <w:left w:w="12" w:type="dxa"/>
              <w:right w:w="12" w:type="dxa"/>
            </w:tcMar>
            <w:vAlign w:val="center"/>
          </w:tcPr>
          <w:p w14:paraId="0140FDC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1225246011</w:t>
            </w:r>
          </w:p>
        </w:tc>
        <w:tc>
          <w:tcPr>
            <w:tcW w:w="1250" w:type="pct"/>
            <w:tcBorders>
              <w:tl2br w:val="nil"/>
              <w:tr2bl w:val="nil"/>
            </w:tcBorders>
            <w:shd w:val="clear" w:color="auto" w:fill="auto"/>
            <w:noWrap/>
            <w:tcMar>
              <w:top w:w="12" w:type="dxa"/>
              <w:left w:w="12" w:type="dxa"/>
              <w:right w:w="12" w:type="dxa"/>
            </w:tcMar>
            <w:vAlign w:val="center"/>
          </w:tcPr>
          <w:p w14:paraId="3397FE8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汽车使用与维护</w:t>
            </w:r>
          </w:p>
          <w:p w14:paraId="627EA83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Car</w:t>
            </w:r>
            <w:r>
              <w:rPr>
                <w:rFonts w:hint="eastAsia" w:ascii="Times New Roman" w:hAnsi="Times New Roman" w:eastAsia="宋体" w:cs="Times New Roman"/>
                <w:bCs/>
                <w:kern w:val="0"/>
                <w:sz w:val="17"/>
                <w:szCs w:val="17"/>
                <w:lang w:val="en-US" w:eastAsia="zh-CN" w:bidi="ar"/>
              </w:rPr>
              <w:t xml:space="preserve"> U</w:t>
            </w:r>
            <w:r>
              <w:rPr>
                <w:rFonts w:hint="default" w:ascii="Times New Roman" w:hAnsi="Times New Roman" w:eastAsia="宋体" w:cs="Times New Roman"/>
                <w:bCs/>
                <w:kern w:val="0"/>
                <w:sz w:val="17"/>
                <w:szCs w:val="17"/>
                <w:lang w:val="en-US" w:eastAsia="zh-CN" w:bidi="ar"/>
              </w:rPr>
              <w:t xml:space="preserve">se and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aintenance</w:t>
            </w:r>
          </w:p>
        </w:tc>
        <w:tc>
          <w:tcPr>
            <w:tcW w:w="306" w:type="pct"/>
            <w:tcBorders>
              <w:tl2br w:val="nil"/>
              <w:tr2bl w:val="nil"/>
            </w:tcBorders>
            <w:shd w:val="clear" w:color="auto" w:fill="auto"/>
            <w:tcMar>
              <w:top w:w="12" w:type="dxa"/>
              <w:left w:w="12" w:type="dxa"/>
              <w:right w:w="12" w:type="dxa"/>
            </w:tcMar>
            <w:vAlign w:val="center"/>
          </w:tcPr>
          <w:p w14:paraId="279C568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15F6F2C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48</w:t>
            </w:r>
          </w:p>
        </w:tc>
        <w:tc>
          <w:tcPr>
            <w:tcW w:w="285" w:type="pct"/>
            <w:tcBorders>
              <w:tl2br w:val="nil"/>
              <w:tr2bl w:val="nil"/>
            </w:tcBorders>
            <w:shd w:val="clear" w:color="auto" w:fill="auto"/>
            <w:tcMar>
              <w:top w:w="12" w:type="dxa"/>
              <w:left w:w="12" w:type="dxa"/>
              <w:right w:w="12" w:type="dxa"/>
            </w:tcMar>
            <w:vAlign w:val="center"/>
          </w:tcPr>
          <w:p w14:paraId="1D784F0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40</w:t>
            </w:r>
          </w:p>
        </w:tc>
        <w:tc>
          <w:tcPr>
            <w:tcW w:w="301" w:type="pct"/>
            <w:tcBorders>
              <w:tl2br w:val="nil"/>
              <w:tr2bl w:val="nil"/>
            </w:tcBorders>
            <w:shd w:val="clear" w:color="auto" w:fill="auto"/>
            <w:tcMar>
              <w:top w:w="12" w:type="dxa"/>
              <w:left w:w="12" w:type="dxa"/>
              <w:right w:w="12" w:type="dxa"/>
            </w:tcMar>
            <w:vAlign w:val="center"/>
          </w:tcPr>
          <w:p w14:paraId="2549CBC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7139A9B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2524EE5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811" w:type="pct"/>
            <w:tcBorders>
              <w:tl2br w:val="nil"/>
              <w:tr2bl w:val="nil"/>
            </w:tcBorders>
            <w:shd w:val="clear" w:color="auto" w:fill="auto"/>
            <w:tcMar>
              <w:top w:w="12" w:type="dxa"/>
              <w:left w:w="12" w:type="dxa"/>
              <w:right w:w="12" w:type="dxa"/>
            </w:tcMar>
            <w:vAlign w:val="top"/>
          </w:tcPr>
          <w:p w14:paraId="076472F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1C96D9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627F1B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1C1850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432B7C9">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1225246015</w:t>
            </w:r>
          </w:p>
        </w:tc>
        <w:tc>
          <w:tcPr>
            <w:tcW w:w="1250" w:type="pct"/>
            <w:tcBorders>
              <w:tl2br w:val="nil"/>
              <w:tr2bl w:val="nil"/>
            </w:tcBorders>
            <w:shd w:val="clear" w:color="auto" w:fill="auto"/>
            <w:tcMar>
              <w:top w:w="12" w:type="dxa"/>
              <w:left w:w="12" w:type="dxa"/>
              <w:right w:w="12" w:type="dxa"/>
            </w:tcMar>
            <w:vAlign w:val="center"/>
          </w:tcPr>
          <w:p w14:paraId="01D4BF96">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智能网联汽车技术</w:t>
            </w:r>
          </w:p>
          <w:p w14:paraId="3E7BE484">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Intelligent </w:t>
            </w:r>
            <w:r>
              <w:rPr>
                <w:rFonts w:hint="eastAsia" w:ascii="Times New Roman" w:hAnsi="Times New Roman" w:eastAsia="宋体" w:cs="Times New Roman"/>
                <w:bCs/>
                <w:kern w:val="0"/>
                <w:sz w:val="17"/>
                <w:szCs w:val="17"/>
                <w:lang w:val="en-US" w:eastAsia="zh-CN" w:bidi="ar"/>
              </w:rPr>
              <w:t>N</w:t>
            </w:r>
            <w:r>
              <w:rPr>
                <w:rFonts w:hint="default" w:ascii="Times New Roman" w:hAnsi="Times New Roman" w:eastAsia="宋体" w:cs="Times New Roman"/>
                <w:bCs/>
                <w:kern w:val="0"/>
                <w:sz w:val="17"/>
                <w:szCs w:val="17"/>
                <w:lang w:val="en-US" w:eastAsia="zh-CN" w:bidi="ar"/>
              </w:rPr>
              <w:t xml:space="preserve">etworked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utomobile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217C1BC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454A9DC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285" w:type="pct"/>
            <w:tcBorders>
              <w:tl2br w:val="nil"/>
              <w:tr2bl w:val="nil"/>
            </w:tcBorders>
            <w:shd w:val="clear" w:color="auto" w:fill="auto"/>
            <w:tcMar>
              <w:top w:w="12" w:type="dxa"/>
              <w:left w:w="12" w:type="dxa"/>
              <w:right w:w="12" w:type="dxa"/>
            </w:tcMar>
            <w:vAlign w:val="center"/>
          </w:tcPr>
          <w:p w14:paraId="4D538CCC">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tcMar>
              <w:top w:w="12" w:type="dxa"/>
              <w:left w:w="12" w:type="dxa"/>
              <w:right w:w="12" w:type="dxa"/>
            </w:tcMar>
            <w:vAlign w:val="center"/>
          </w:tcPr>
          <w:p w14:paraId="2C7315E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1ABEA49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3AC7725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tcMar>
              <w:top w:w="12" w:type="dxa"/>
              <w:left w:w="12" w:type="dxa"/>
              <w:right w:w="12" w:type="dxa"/>
            </w:tcMar>
            <w:vAlign w:val="top"/>
          </w:tcPr>
          <w:p w14:paraId="487C912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0E0D28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8E3039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01C387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787CA720">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1225246014</w:t>
            </w:r>
          </w:p>
        </w:tc>
        <w:tc>
          <w:tcPr>
            <w:tcW w:w="1250" w:type="pct"/>
            <w:tcBorders>
              <w:tl2br w:val="nil"/>
              <w:tr2bl w:val="nil"/>
            </w:tcBorders>
            <w:shd w:val="clear" w:color="auto" w:fill="auto"/>
            <w:tcMar>
              <w:top w:w="12" w:type="dxa"/>
              <w:left w:w="12" w:type="dxa"/>
              <w:right w:w="12" w:type="dxa"/>
            </w:tcMar>
            <w:vAlign w:val="center"/>
          </w:tcPr>
          <w:p w14:paraId="058D9A9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新能源汽车装配工艺</w:t>
            </w:r>
          </w:p>
          <w:p w14:paraId="3F69D5C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ssembly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rocess</w:t>
            </w:r>
          </w:p>
        </w:tc>
        <w:tc>
          <w:tcPr>
            <w:tcW w:w="306" w:type="pct"/>
            <w:tcBorders>
              <w:tl2br w:val="nil"/>
              <w:tr2bl w:val="nil"/>
            </w:tcBorders>
            <w:shd w:val="clear" w:color="auto" w:fill="auto"/>
            <w:tcMar>
              <w:top w:w="12" w:type="dxa"/>
              <w:left w:w="12" w:type="dxa"/>
              <w:right w:w="12" w:type="dxa"/>
            </w:tcMar>
            <w:vAlign w:val="center"/>
          </w:tcPr>
          <w:p w14:paraId="4932B6F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248" w:type="pct"/>
            <w:tcBorders>
              <w:tl2br w:val="nil"/>
              <w:tr2bl w:val="nil"/>
            </w:tcBorders>
            <w:shd w:val="clear" w:color="auto" w:fill="auto"/>
            <w:tcMar>
              <w:top w:w="12" w:type="dxa"/>
              <w:left w:w="12" w:type="dxa"/>
              <w:right w:w="12" w:type="dxa"/>
            </w:tcMar>
            <w:vAlign w:val="center"/>
          </w:tcPr>
          <w:p w14:paraId="5F65B88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48</w:t>
            </w:r>
          </w:p>
        </w:tc>
        <w:tc>
          <w:tcPr>
            <w:tcW w:w="285" w:type="pct"/>
            <w:tcBorders>
              <w:tl2br w:val="nil"/>
              <w:tr2bl w:val="nil"/>
            </w:tcBorders>
            <w:shd w:val="clear" w:color="auto" w:fill="auto"/>
            <w:tcMar>
              <w:top w:w="12" w:type="dxa"/>
              <w:left w:w="12" w:type="dxa"/>
              <w:right w:w="12" w:type="dxa"/>
            </w:tcMar>
            <w:vAlign w:val="center"/>
          </w:tcPr>
          <w:p w14:paraId="3E23ECB8">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24</w:t>
            </w:r>
          </w:p>
        </w:tc>
        <w:tc>
          <w:tcPr>
            <w:tcW w:w="301" w:type="pct"/>
            <w:tcBorders>
              <w:tl2br w:val="nil"/>
              <w:tr2bl w:val="nil"/>
            </w:tcBorders>
            <w:shd w:val="clear" w:color="auto" w:fill="auto"/>
            <w:tcMar>
              <w:top w:w="12" w:type="dxa"/>
              <w:left w:w="12" w:type="dxa"/>
              <w:right w:w="12" w:type="dxa"/>
            </w:tcMar>
            <w:vAlign w:val="center"/>
          </w:tcPr>
          <w:p w14:paraId="41B82BBA">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24</w:t>
            </w:r>
          </w:p>
        </w:tc>
        <w:tc>
          <w:tcPr>
            <w:tcW w:w="295" w:type="pct"/>
            <w:tcBorders>
              <w:tl2br w:val="nil"/>
              <w:tr2bl w:val="nil"/>
            </w:tcBorders>
            <w:shd w:val="clear" w:color="auto" w:fill="auto"/>
            <w:tcMar>
              <w:top w:w="12" w:type="dxa"/>
              <w:left w:w="12" w:type="dxa"/>
              <w:right w:w="12" w:type="dxa"/>
            </w:tcMar>
            <w:vAlign w:val="center"/>
          </w:tcPr>
          <w:p w14:paraId="0DC6F23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59B7FC62">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tcMar>
              <w:top w:w="12" w:type="dxa"/>
              <w:left w:w="12" w:type="dxa"/>
              <w:right w:w="12" w:type="dxa"/>
            </w:tcMar>
            <w:vAlign w:val="top"/>
          </w:tcPr>
          <w:p w14:paraId="274BDDE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374A4C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C19653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3994734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F63CA08">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1225146013</w:t>
            </w:r>
          </w:p>
        </w:tc>
        <w:tc>
          <w:tcPr>
            <w:tcW w:w="1250" w:type="pct"/>
            <w:tcBorders>
              <w:tl2br w:val="nil"/>
              <w:tr2bl w:val="nil"/>
            </w:tcBorders>
            <w:shd w:val="clear" w:color="auto" w:fill="auto"/>
            <w:tcMar>
              <w:top w:w="12" w:type="dxa"/>
              <w:left w:w="12" w:type="dxa"/>
              <w:right w:w="12" w:type="dxa"/>
            </w:tcMar>
            <w:vAlign w:val="center"/>
          </w:tcPr>
          <w:p w14:paraId="4929963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车载充电系统及充电站技术</w:t>
            </w:r>
          </w:p>
          <w:p w14:paraId="140DED5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On-board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harging </w:t>
            </w:r>
            <w:r>
              <w:rPr>
                <w:rFonts w:hint="eastAsia" w:ascii="Times New Roman" w:hAnsi="Times New Roman" w:eastAsia="宋体" w:cs="Times New Roman"/>
                <w:bCs/>
                <w:kern w:val="0"/>
                <w:sz w:val="17"/>
                <w:szCs w:val="17"/>
                <w:lang w:val="en-US" w:eastAsia="zh-CN" w:bidi="ar"/>
              </w:rPr>
              <w:t>S</w:t>
            </w:r>
            <w:r>
              <w:rPr>
                <w:rFonts w:hint="default" w:ascii="Times New Roman" w:hAnsi="Times New Roman" w:eastAsia="宋体" w:cs="Times New Roman"/>
                <w:bCs/>
                <w:kern w:val="0"/>
                <w:sz w:val="17"/>
                <w:szCs w:val="17"/>
                <w:lang w:val="en-US" w:eastAsia="zh-CN" w:bidi="ar"/>
              </w:rPr>
              <w:t xml:space="preserve">ystem and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harging </w:t>
            </w:r>
            <w:r>
              <w:rPr>
                <w:rFonts w:hint="eastAsia" w:ascii="Times New Roman" w:hAnsi="Times New Roman" w:eastAsia="宋体" w:cs="Times New Roman"/>
                <w:bCs/>
                <w:kern w:val="0"/>
                <w:sz w:val="17"/>
                <w:szCs w:val="17"/>
                <w:lang w:val="en-US" w:eastAsia="zh-CN" w:bidi="ar"/>
              </w:rPr>
              <w:t>S</w:t>
            </w:r>
            <w:r>
              <w:rPr>
                <w:rFonts w:hint="default" w:ascii="Times New Roman" w:hAnsi="Times New Roman" w:eastAsia="宋体" w:cs="Times New Roman"/>
                <w:bCs/>
                <w:kern w:val="0"/>
                <w:sz w:val="17"/>
                <w:szCs w:val="17"/>
                <w:lang w:val="en-US" w:eastAsia="zh-CN" w:bidi="ar"/>
              </w:rPr>
              <w:t xml:space="preserve">tation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tcMar>
              <w:top w:w="12" w:type="dxa"/>
              <w:left w:w="12" w:type="dxa"/>
              <w:right w:w="12" w:type="dxa"/>
            </w:tcMar>
            <w:vAlign w:val="center"/>
          </w:tcPr>
          <w:p w14:paraId="515E10F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3D99A4A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285" w:type="pct"/>
            <w:tcBorders>
              <w:tl2br w:val="nil"/>
              <w:tr2bl w:val="nil"/>
            </w:tcBorders>
            <w:shd w:val="clear" w:color="auto" w:fill="auto"/>
            <w:noWrap/>
            <w:tcMar>
              <w:top w:w="12" w:type="dxa"/>
              <w:left w:w="12" w:type="dxa"/>
              <w:right w:w="12" w:type="dxa"/>
            </w:tcMar>
            <w:vAlign w:val="center"/>
          </w:tcPr>
          <w:p w14:paraId="42A6F6D8">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301" w:type="pct"/>
            <w:tcBorders>
              <w:tl2br w:val="nil"/>
              <w:tr2bl w:val="nil"/>
            </w:tcBorders>
            <w:shd w:val="clear" w:color="auto" w:fill="auto"/>
            <w:tcMar>
              <w:top w:w="12" w:type="dxa"/>
              <w:left w:w="12" w:type="dxa"/>
              <w:right w:w="12" w:type="dxa"/>
            </w:tcMar>
            <w:vAlign w:val="center"/>
          </w:tcPr>
          <w:p w14:paraId="60FAB0C9">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295" w:type="pct"/>
            <w:tcBorders>
              <w:tl2br w:val="nil"/>
              <w:tr2bl w:val="nil"/>
            </w:tcBorders>
            <w:shd w:val="clear" w:color="auto" w:fill="auto"/>
            <w:tcMar>
              <w:top w:w="12" w:type="dxa"/>
              <w:left w:w="12" w:type="dxa"/>
              <w:right w:w="12" w:type="dxa"/>
            </w:tcMar>
            <w:vAlign w:val="center"/>
          </w:tcPr>
          <w:p w14:paraId="64DF844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4C0CA6A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5</w:t>
            </w:r>
          </w:p>
        </w:tc>
        <w:tc>
          <w:tcPr>
            <w:tcW w:w="811" w:type="pct"/>
            <w:tcBorders>
              <w:tl2br w:val="nil"/>
              <w:tr2bl w:val="nil"/>
            </w:tcBorders>
            <w:shd w:val="clear" w:color="auto" w:fill="auto"/>
            <w:tcMar>
              <w:top w:w="12" w:type="dxa"/>
              <w:left w:w="12" w:type="dxa"/>
              <w:right w:w="12" w:type="dxa"/>
            </w:tcMar>
            <w:vAlign w:val="center"/>
          </w:tcPr>
          <w:p w14:paraId="208685C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18E40FD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F93DC0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4A83B6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4471" w:type="pct"/>
            <w:gridSpan w:val="9"/>
            <w:tcBorders>
              <w:tl2br w:val="nil"/>
              <w:tr2bl w:val="nil"/>
            </w:tcBorders>
            <w:shd w:val="clear" w:color="auto" w:fill="auto"/>
            <w:tcMar>
              <w:top w:w="12" w:type="dxa"/>
              <w:left w:w="12" w:type="dxa"/>
              <w:right w:w="12" w:type="dxa"/>
            </w:tcMar>
            <w:vAlign w:val="center"/>
          </w:tcPr>
          <w:p w14:paraId="0F82EEC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选修10学分</w:t>
            </w:r>
          </w:p>
        </w:tc>
      </w:tr>
      <w:tr w14:paraId="2EB421D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EF258E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7B8DD9E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20A551B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任选</w:t>
            </w:r>
          </w:p>
          <w:p w14:paraId="7CB529A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（拓展）课程</w:t>
            </w:r>
          </w:p>
        </w:tc>
        <w:tc>
          <w:tcPr>
            <w:tcW w:w="645" w:type="pct"/>
            <w:tcBorders>
              <w:tl2br w:val="nil"/>
              <w:tr2bl w:val="nil"/>
            </w:tcBorders>
            <w:shd w:val="clear" w:color="auto" w:fill="auto"/>
            <w:tcMar>
              <w:top w:w="12" w:type="dxa"/>
              <w:left w:w="12" w:type="dxa"/>
              <w:right w:w="12" w:type="dxa"/>
            </w:tcMar>
            <w:vAlign w:val="center"/>
          </w:tcPr>
          <w:p w14:paraId="2113BE52">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1225146019</w:t>
            </w:r>
          </w:p>
        </w:tc>
        <w:tc>
          <w:tcPr>
            <w:tcW w:w="1250" w:type="pct"/>
            <w:tcBorders>
              <w:tl2br w:val="nil"/>
              <w:tr2bl w:val="nil"/>
            </w:tcBorders>
            <w:shd w:val="clear" w:color="auto" w:fill="auto"/>
            <w:noWrap/>
            <w:tcMar>
              <w:top w:w="12" w:type="dxa"/>
              <w:left w:w="12" w:type="dxa"/>
              <w:right w:w="12" w:type="dxa"/>
            </w:tcMar>
            <w:vAlign w:val="center"/>
          </w:tcPr>
          <w:p w14:paraId="4BB455C9">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w:t>
            </w:r>
            <w:r>
              <w:rPr>
                <w:rFonts w:hint="default" w:ascii="Times New Roman" w:hAnsi="Times New Roman" w:eastAsia="宋体" w:cs="Times New Roman"/>
                <w:bCs/>
                <w:kern w:val="0"/>
                <w:sz w:val="17"/>
                <w:szCs w:val="17"/>
                <w:lang w:val="en-US" w:eastAsia="zh-CN" w:bidi="ar"/>
              </w:rPr>
              <w:t>概论</w:t>
            </w:r>
          </w:p>
          <w:p w14:paraId="1300CC0D">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Introduction to New Energy Vehicles</w:t>
            </w:r>
          </w:p>
        </w:tc>
        <w:tc>
          <w:tcPr>
            <w:tcW w:w="306" w:type="pct"/>
            <w:tcBorders>
              <w:tl2br w:val="nil"/>
              <w:tr2bl w:val="nil"/>
            </w:tcBorders>
            <w:shd w:val="clear" w:color="auto" w:fill="auto"/>
            <w:noWrap/>
            <w:tcMar>
              <w:top w:w="12" w:type="dxa"/>
              <w:left w:w="12" w:type="dxa"/>
              <w:right w:w="12" w:type="dxa"/>
            </w:tcMar>
            <w:vAlign w:val="center"/>
          </w:tcPr>
          <w:p w14:paraId="027298B5">
            <w:pPr>
              <w:keepNext w:val="0"/>
              <w:keepLines w:val="0"/>
              <w:pageBreakBefore w:val="0"/>
              <w:widowControl/>
              <w:wordWrap/>
              <w:topLinePunct w:val="0"/>
              <w:bidi w:val="0"/>
              <w:spacing w:line="240" w:lineRule="auto"/>
              <w:ind w:left="0" w:right="0"/>
              <w:jc w:val="center"/>
              <w:textAlignment w:val="center"/>
              <w:rPr>
                <w:rFonts w:hint="eastAsia" w:ascii="Times New Roman" w:hAnsi="Times New Roman" w:cs="Times New Roman" w:eastAsiaTheme="minorEastAsia"/>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noWrap/>
            <w:tcMar>
              <w:top w:w="12" w:type="dxa"/>
              <w:left w:w="12" w:type="dxa"/>
              <w:right w:w="12" w:type="dxa"/>
            </w:tcMar>
            <w:vAlign w:val="center"/>
          </w:tcPr>
          <w:p w14:paraId="336D3A9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285" w:type="pct"/>
            <w:tcBorders>
              <w:tl2br w:val="nil"/>
              <w:tr2bl w:val="nil"/>
            </w:tcBorders>
            <w:shd w:val="clear" w:color="auto" w:fill="auto"/>
            <w:noWrap/>
            <w:tcMar>
              <w:top w:w="12" w:type="dxa"/>
              <w:left w:w="12" w:type="dxa"/>
              <w:right w:w="12" w:type="dxa"/>
            </w:tcMar>
            <w:vAlign w:val="center"/>
          </w:tcPr>
          <w:p w14:paraId="0548626C">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noWrap/>
            <w:tcMar>
              <w:top w:w="12" w:type="dxa"/>
              <w:left w:w="12" w:type="dxa"/>
              <w:right w:w="12" w:type="dxa"/>
            </w:tcMar>
            <w:vAlign w:val="center"/>
          </w:tcPr>
          <w:p w14:paraId="780D695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0</w:t>
            </w:r>
          </w:p>
        </w:tc>
        <w:tc>
          <w:tcPr>
            <w:tcW w:w="295" w:type="pct"/>
            <w:tcBorders>
              <w:tl2br w:val="nil"/>
              <w:tr2bl w:val="nil"/>
            </w:tcBorders>
            <w:shd w:val="clear" w:color="auto" w:fill="auto"/>
            <w:noWrap/>
            <w:tcMar>
              <w:top w:w="12" w:type="dxa"/>
              <w:left w:w="12" w:type="dxa"/>
              <w:right w:w="12" w:type="dxa"/>
            </w:tcMar>
            <w:vAlign w:val="center"/>
          </w:tcPr>
          <w:p w14:paraId="3002EDAA">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4FCD8467">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811" w:type="pct"/>
            <w:vMerge w:val="restart"/>
            <w:tcBorders>
              <w:tl2br w:val="nil"/>
              <w:tr2bl w:val="nil"/>
            </w:tcBorders>
            <w:shd w:val="clear" w:color="auto" w:fill="auto"/>
            <w:tcMar>
              <w:top w:w="12" w:type="dxa"/>
              <w:left w:w="12" w:type="dxa"/>
              <w:right w:w="12" w:type="dxa"/>
            </w:tcMar>
            <w:vAlign w:val="center"/>
          </w:tcPr>
          <w:p w14:paraId="6311DBB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至少选修2学分</w:t>
            </w:r>
          </w:p>
        </w:tc>
      </w:tr>
      <w:tr w14:paraId="0657303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612CC8D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02C168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5E212121">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1225146017</w:t>
            </w:r>
          </w:p>
        </w:tc>
        <w:tc>
          <w:tcPr>
            <w:tcW w:w="1250" w:type="pct"/>
            <w:tcBorders>
              <w:tl2br w:val="nil"/>
              <w:tr2bl w:val="nil"/>
            </w:tcBorders>
            <w:shd w:val="clear" w:color="auto" w:fill="auto"/>
            <w:noWrap/>
            <w:tcMar>
              <w:top w:w="12" w:type="dxa"/>
              <w:left w:w="12" w:type="dxa"/>
              <w:right w:w="12" w:type="dxa"/>
            </w:tcMar>
            <w:vAlign w:val="center"/>
          </w:tcPr>
          <w:p w14:paraId="36A2585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汽车法律法规</w:t>
            </w:r>
          </w:p>
          <w:p w14:paraId="6382712A">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Automobile </w:t>
            </w:r>
            <w:r>
              <w:rPr>
                <w:rFonts w:hint="eastAsia" w:ascii="Times New Roman" w:hAnsi="Times New Roman" w:eastAsia="宋体" w:cs="Times New Roman"/>
                <w:bCs/>
                <w:kern w:val="0"/>
                <w:sz w:val="17"/>
                <w:szCs w:val="17"/>
                <w:lang w:val="en-US" w:eastAsia="zh-CN" w:bidi="ar"/>
              </w:rPr>
              <w:t>L</w:t>
            </w:r>
            <w:r>
              <w:rPr>
                <w:rFonts w:hint="default" w:ascii="Times New Roman" w:hAnsi="Times New Roman" w:eastAsia="宋体" w:cs="Times New Roman"/>
                <w:bCs/>
                <w:kern w:val="0"/>
                <w:sz w:val="17"/>
                <w:szCs w:val="17"/>
                <w:lang w:val="en-US" w:eastAsia="zh-CN" w:bidi="ar"/>
              </w:rPr>
              <w:t xml:space="preserve">aws and </w:t>
            </w:r>
            <w:r>
              <w:rPr>
                <w:rFonts w:hint="eastAsia" w:ascii="Times New Roman" w:hAnsi="Times New Roman" w:eastAsia="宋体" w:cs="Times New Roman"/>
                <w:bCs/>
                <w:kern w:val="0"/>
                <w:sz w:val="17"/>
                <w:szCs w:val="17"/>
                <w:lang w:val="en-US" w:eastAsia="zh-CN" w:bidi="ar"/>
              </w:rPr>
              <w:t>R</w:t>
            </w:r>
            <w:r>
              <w:rPr>
                <w:rFonts w:hint="default" w:ascii="Times New Roman" w:hAnsi="Times New Roman" w:eastAsia="宋体" w:cs="Times New Roman"/>
                <w:bCs/>
                <w:kern w:val="0"/>
                <w:sz w:val="17"/>
                <w:szCs w:val="17"/>
                <w:lang w:val="en-US" w:eastAsia="zh-CN" w:bidi="ar"/>
              </w:rPr>
              <w:t>egulations</w:t>
            </w:r>
          </w:p>
        </w:tc>
        <w:tc>
          <w:tcPr>
            <w:tcW w:w="306" w:type="pct"/>
            <w:tcBorders>
              <w:tl2br w:val="nil"/>
              <w:tr2bl w:val="nil"/>
            </w:tcBorders>
            <w:shd w:val="clear" w:color="auto" w:fill="auto"/>
            <w:noWrap/>
            <w:tcMar>
              <w:top w:w="12" w:type="dxa"/>
              <w:left w:w="12" w:type="dxa"/>
              <w:right w:w="12" w:type="dxa"/>
            </w:tcMar>
            <w:vAlign w:val="center"/>
          </w:tcPr>
          <w:p w14:paraId="5568AF8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248" w:type="pct"/>
            <w:tcBorders>
              <w:tl2br w:val="nil"/>
              <w:tr2bl w:val="nil"/>
            </w:tcBorders>
            <w:shd w:val="clear" w:color="auto" w:fill="auto"/>
            <w:noWrap/>
            <w:tcMar>
              <w:top w:w="12" w:type="dxa"/>
              <w:left w:w="12" w:type="dxa"/>
              <w:right w:w="12" w:type="dxa"/>
            </w:tcMar>
            <w:vAlign w:val="center"/>
          </w:tcPr>
          <w:p w14:paraId="5169221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285" w:type="pct"/>
            <w:tcBorders>
              <w:tl2br w:val="nil"/>
              <w:tr2bl w:val="nil"/>
            </w:tcBorders>
            <w:shd w:val="clear" w:color="auto" w:fill="auto"/>
            <w:noWrap/>
            <w:tcMar>
              <w:top w:w="12" w:type="dxa"/>
              <w:left w:w="12" w:type="dxa"/>
              <w:right w:w="12" w:type="dxa"/>
            </w:tcMar>
            <w:vAlign w:val="center"/>
          </w:tcPr>
          <w:p w14:paraId="1EB4F66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32</w:t>
            </w:r>
          </w:p>
        </w:tc>
        <w:tc>
          <w:tcPr>
            <w:tcW w:w="301" w:type="pct"/>
            <w:tcBorders>
              <w:tl2br w:val="nil"/>
              <w:tr2bl w:val="nil"/>
            </w:tcBorders>
            <w:shd w:val="clear" w:color="auto" w:fill="auto"/>
            <w:noWrap/>
            <w:tcMar>
              <w:top w:w="12" w:type="dxa"/>
              <w:left w:w="12" w:type="dxa"/>
              <w:right w:w="12" w:type="dxa"/>
            </w:tcMar>
            <w:vAlign w:val="center"/>
          </w:tcPr>
          <w:p w14:paraId="6253308D">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0</w:t>
            </w:r>
          </w:p>
        </w:tc>
        <w:tc>
          <w:tcPr>
            <w:tcW w:w="295" w:type="pct"/>
            <w:tcBorders>
              <w:tl2br w:val="nil"/>
              <w:tr2bl w:val="nil"/>
            </w:tcBorders>
            <w:shd w:val="clear" w:color="auto" w:fill="auto"/>
            <w:noWrap/>
            <w:tcMar>
              <w:top w:w="12" w:type="dxa"/>
              <w:left w:w="12" w:type="dxa"/>
              <w:right w:w="12" w:type="dxa"/>
            </w:tcMar>
            <w:vAlign w:val="center"/>
          </w:tcPr>
          <w:p w14:paraId="1E97C752">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0D93DA7D">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3</w:t>
            </w:r>
          </w:p>
        </w:tc>
        <w:tc>
          <w:tcPr>
            <w:tcW w:w="811" w:type="pct"/>
            <w:vMerge w:val="continue"/>
            <w:tcBorders>
              <w:tl2br w:val="nil"/>
              <w:tr2bl w:val="nil"/>
            </w:tcBorders>
            <w:shd w:val="clear" w:color="auto" w:fill="auto"/>
            <w:tcMar>
              <w:top w:w="12" w:type="dxa"/>
              <w:left w:w="12" w:type="dxa"/>
              <w:right w:w="12" w:type="dxa"/>
            </w:tcMar>
            <w:vAlign w:val="center"/>
          </w:tcPr>
          <w:p w14:paraId="662D718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731F4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49336B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5E6728A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9D06D0E">
            <w:pPr>
              <w:keepNext w:val="0"/>
              <w:keepLines w:val="0"/>
              <w:pageBreakBefore w:val="0"/>
              <w:widowControl/>
              <w:suppressLineNumbers w:val="0"/>
              <w:wordWrap/>
              <w:topLinePunct w:val="0"/>
              <w:bidi w:val="0"/>
              <w:spacing w:line="240" w:lineRule="auto"/>
              <w:ind w:left="0" w:leftChars="0" w:right="0" w:rightChars="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1225246012</w:t>
            </w:r>
          </w:p>
        </w:tc>
        <w:tc>
          <w:tcPr>
            <w:tcW w:w="1250" w:type="pct"/>
            <w:tcBorders>
              <w:tl2br w:val="nil"/>
              <w:tr2bl w:val="nil"/>
            </w:tcBorders>
            <w:shd w:val="clear" w:color="auto" w:fill="auto"/>
            <w:noWrap/>
            <w:tcMar>
              <w:top w:w="12" w:type="dxa"/>
              <w:left w:w="12" w:type="dxa"/>
              <w:right w:w="12" w:type="dxa"/>
            </w:tcMar>
            <w:vAlign w:val="center"/>
          </w:tcPr>
          <w:p w14:paraId="3A98786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车载网络技术</w:t>
            </w:r>
          </w:p>
          <w:p w14:paraId="13E5C6F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On-board </w:t>
            </w:r>
            <w:r>
              <w:rPr>
                <w:rFonts w:hint="eastAsia" w:ascii="Times New Roman" w:hAnsi="Times New Roman" w:eastAsia="宋体" w:cs="Times New Roman"/>
                <w:bCs/>
                <w:kern w:val="0"/>
                <w:sz w:val="17"/>
                <w:szCs w:val="17"/>
                <w:lang w:val="en-US" w:eastAsia="zh-CN" w:bidi="ar"/>
              </w:rPr>
              <w:t>N</w:t>
            </w:r>
            <w:r>
              <w:rPr>
                <w:rFonts w:hint="default" w:ascii="Times New Roman" w:hAnsi="Times New Roman" w:eastAsia="宋体" w:cs="Times New Roman"/>
                <w:bCs/>
                <w:kern w:val="0"/>
                <w:sz w:val="17"/>
                <w:szCs w:val="17"/>
                <w:lang w:val="en-US" w:eastAsia="zh-CN" w:bidi="ar"/>
              </w:rPr>
              <w:t xml:space="preserve">etwork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noWrap/>
            <w:tcMar>
              <w:top w:w="12" w:type="dxa"/>
              <w:left w:w="12" w:type="dxa"/>
              <w:right w:w="12" w:type="dxa"/>
            </w:tcMar>
            <w:vAlign w:val="center"/>
          </w:tcPr>
          <w:p w14:paraId="03F838E3">
            <w:pPr>
              <w:keepNext w:val="0"/>
              <w:keepLines w:val="0"/>
              <w:pageBreakBefore w:val="0"/>
              <w:widowControl/>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noWrap/>
            <w:tcMar>
              <w:top w:w="12" w:type="dxa"/>
              <w:left w:w="12" w:type="dxa"/>
              <w:right w:w="12" w:type="dxa"/>
            </w:tcMar>
            <w:vAlign w:val="center"/>
          </w:tcPr>
          <w:p w14:paraId="6FCA253A">
            <w:pPr>
              <w:keepNext w:val="0"/>
              <w:keepLines w:val="0"/>
              <w:pageBreakBefore w:val="0"/>
              <w:widowControl/>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kern w:val="2"/>
                <w:sz w:val="18"/>
                <w:szCs w:val="18"/>
                <w:highlight w:val="none"/>
                <w:lang w:val="en-US" w:eastAsia="zh-CN" w:bidi="ar-SA"/>
              </w:rPr>
              <w:t>32</w:t>
            </w:r>
          </w:p>
        </w:tc>
        <w:tc>
          <w:tcPr>
            <w:tcW w:w="285" w:type="pct"/>
            <w:tcBorders>
              <w:tl2br w:val="nil"/>
              <w:tr2bl w:val="nil"/>
            </w:tcBorders>
            <w:shd w:val="clear" w:color="auto" w:fill="auto"/>
            <w:noWrap/>
            <w:tcMar>
              <w:top w:w="12" w:type="dxa"/>
              <w:left w:w="12" w:type="dxa"/>
              <w:right w:w="12" w:type="dxa"/>
            </w:tcMar>
            <w:vAlign w:val="center"/>
          </w:tcPr>
          <w:p w14:paraId="55B77B0C">
            <w:pPr>
              <w:keepNext w:val="0"/>
              <w:keepLines w:val="0"/>
              <w:pageBreakBefore w:val="0"/>
              <w:widowControl/>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kern w:val="2"/>
                <w:sz w:val="18"/>
                <w:szCs w:val="18"/>
                <w:highlight w:val="none"/>
                <w:lang w:val="en-US" w:eastAsia="zh-CN" w:bidi="ar-SA"/>
              </w:rPr>
              <w:t>24</w:t>
            </w:r>
          </w:p>
        </w:tc>
        <w:tc>
          <w:tcPr>
            <w:tcW w:w="301" w:type="pct"/>
            <w:tcBorders>
              <w:tl2br w:val="nil"/>
              <w:tr2bl w:val="nil"/>
            </w:tcBorders>
            <w:shd w:val="clear" w:color="auto" w:fill="auto"/>
            <w:noWrap/>
            <w:tcMar>
              <w:top w:w="12" w:type="dxa"/>
              <w:left w:w="12" w:type="dxa"/>
              <w:right w:w="12" w:type="dxa"/>
            </w:tcMar>
            <w:vAlign w:val="center"/>
          </w:tcPr>
          <w:p w14:paraId="3E9BA651">
            <w:pPr>
              <w:keepNext w:val="0"/>
              <w:keepLines w:val="0"/>
              <w:pageBreakBefore w:val="0"/>
              <w:wordWrap/>
              <w:topLinePunct w:val="0"/>
              <w:bidi w:val="0"/>
              <w:spacing w:line="240" w:lineRule="auto"/>
              <w:ind w:left="0" w:leftChars="0" w:right="0" w:rightChars="0"/>
              <w:jc w:val="center"/>
              <w:rPr>
                <w:rFonts w:hint="default"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kern w:val="2"/>
                <w:sz w:val="18"/>
                <w:szCs w:val="18"/>
                <w:highlight w:val="none"/>
                <w:lang w:val="en-US" w:eastAsia="zh-CN" w:bidi="ar-SA"/>
              </w:rPr>
              <w:t>8</w:t>
            </w:r>
          </w:p>
        </w:tc>
        <w:tc>
          <w:tcPr>
            <w:tcW w:w="295" w:type="pct"/>
            <w:tcBorders>
              <w:tl2br w:val="nil"/>
              <w:tr2bl w:val="nil"/>
            </w:tcBorders>
            <w:shd w:val="clear" w:color="auto" w:fill="auto"/>
            <w:noWrap/>
            <w:tcMar>
              <w:top w:w="12" w:type="dxa"/>
              <w:left w:w="12" w:type="dxa"/>
              <w:right w:w="12" w:type="dxa"/>
            </w:tcMar>
            <w:vAlign w:val="center"/>
          </w:tcPr>
          <w:p w14:paraId="5D5E53C5">
            <w:pPr>
              <w:keepNext w:val="0"/>
              <w:keepLines w:val="0"/>
              <w:pageBreakBefore w:val="0"/>
              <w:widowControl/>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4A3F5797">
            <w:pPr>
              <w:keepNext w:val="0"/>
              <w:keepLines w:val="0"/>
              <w:pageBreakBefore w:val="0"/>
              <w:widowControl/>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4</w:t>
            </w:r>
          </w:p>
        </w:tc>
        <w:tc>
          <w:tcPr>
            <w:tcW w:w="811" w:type="pct"/>
            <w:vMerge w:val="restart"/>
            <w:tcBorders>
              <w:tl2br w:val="nil"/>
              <w:tr2bl w:val="nil"/>
            </w:tcBorders>
            <w:shd w:val="clear" w:color="auto" w:fill="auto"/>
            <w:tcMar>
              <w:top w:w="12" w:type="dxa"/>
              <w:left w:w="12" w:type="dxa"/>
              <w:right w:w="12" w:type="dxa"/>
            </w:tcMar>
            <w:vAlign w:val="center"/>
          </w:tcPr>
          <w:p w14:paraId="366C2FD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至少选修2学分</w:t>
            </w:r>
          </w:p>
        </w:tc>
      </w:tr>
      <w:tr w14:paraId="54077F4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190344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02FED56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F4CC7B1">
            <w:pPr>
              <w:keepNext w:val="0"/>
              <w:keepLines w:val="0"/>
              <w:pageBreakBefore w:val="0"/>
              <w:widowControl/>
              <w:suppressLineNumbers w:val="0"/>
              <w:wordWrap/>
              <w:topLinePunct w:val="0"/>
              <w:bidi w:val="0"/>
              <w:spacing w:line="240" w:lineRule="auto"/>
              <w:ind w:left="0" w:leftChars="0" w:right="0" w:rightChars="0"/>
              <w:jc w:val="center"/>
              <w:textAlignment w:val="center"/>
              <w:rPr>
                <w:rFonts w:hint="eastAsia"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1225246020</w:t>
            </w:r>
          </w:p>
        </w:tc>
        <w:tc>
          <w:tcPr>
            <w:tcW w:w="1250" w:type="pct"/>
            <w:tcBorders>
              <w:tl2br w:val="nil"/>
              <w:tr2bl w:val="nil"/>
            </w:tcBorders>
            <w:shd w:val="clear" w:color="auto" w:fill="auto"/>
            <w:noWrap/>
            <w:tcMar>
              <w:top w:w="12" w:type="dxa"/>
              <w:left w:w="12" w:type="dxa"/>
              <w:right w:w="12" w:type="dxa"/>
            </w:tcMar>
            <w:vAlign w:val="center"/>
          </w:tcPr>
          <w:p w14:paraId="1EAC622B">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二手车鉴定与评估</w:t>
            </w:r>
          </w:p>
          <w:p w14:paraId="1B33379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Identification and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valuation of </w:t>
            </w:r>
            <w:r>
              <w:rPr>
                <w:rFonts w:hint="eastAsia" w:ascii="Times New Roman" w:hAnsi="Times New Roman" w:eastAsia="宋体" w:cs="Times New Roman"/>
                <w:bCs/>
                <w:kern w:val="0"/>
                <w:sz w:val="17"/>
                <w:szCs w:val="17"/>
                <w:lang w:val="en-US" w:eastAsia="zh-CN" w:bidi="ar"/>
              </w:rPr>
              <w:t>U</w:t>
            </w:r>
            <w:r>
              <w:rPr>
                <w:rFonts w:hint="default" w:ascii="Times New Roman" w:hAnsi="Times New Roman" w:eastAsia="宋体" w:cs="Times New Roman"/>
                <w:bCs/>
                <w:kern w:val="0"/>
                <w:sz w:val="17"/>
                <w:szCs w:val="17"/>
                <w:lang w:val="en-US" w:eastAsia="zh-CN" w:bidi="ar"/>
              </w:rPr>
              <w:t xml:space="preserve">sed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ars</w:t>
            </w:r>
          </w:p>
        </w:tc>
        <w:tc>
          <w:tcPr>
            <w:tcW w:w="306" w:type="pct"/>
            <w:tcBorders>
              <w:tl2br w:val="nil"/>
              <w:tr2bl w:val="nil"/>
            </w:tcBorders>
            <w:shd w:val="clear" w:color="auto" w:fill="auto"/>
            <w:noWrap/>
            <w:tcMar>
              <w:top w:w="12" w:type="dxa"/>
              <w:left w:w="12" w:type="dxa"/>
              <w:right w:w="12" w:type="dxa"/>
            </w:tcMar>
            <w:vAlign w:val="center"/>
          </w:tcPr>
          <w:p w14:paraId="3E107DAC">
            <w:pPr>
              <w:keepNext w:val="0"/>
              <w:keepLines w:val="0"/>
              <w:pageBreakBefore w:val="0"/>
              <w:widowControl/>
              <w:wordWrap/>
              <w:topLinePunct w:val="0"/>
              <w:bidi w:val="0"/>
              <w:spacing w:line="240" w:lineRule="auto"/>
              <w:ind w:left="0" w:leftChars="0" w:right="0" w:rightChars="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noWrap/>
            <w:tcMar>
              <w:top w:w="12" w:type="dxa"/>
              <w:left w:w="12" w:type="dxa"/>
              <w:right w:w="12" w:type="dxa"/>
            </w:tcMar>
            <w:vAlign w:val="center"/>
          </w:tcPr>
          <w:p w14:paraId="764E50F3">
            <w:pPr>
              <w:keepNext w:val="0"/>
              <w:keepLines w:val="0"/>
              <w:pageBreakBefore w:val="0"/>
              <w:widowControl/>
              <w:wordWrap/>
              <w:topLinePunct w:val="0"/>
              <w:bidi w:val="0"/>
              <w:spacing w:line="240" w:lineRule="auto"/>
              <w:ind w:left="0" w:leftChars="0" w:right="0" w:rightChars="0"/>
              <w:jc w:val="center"/>
              <w:textAlignment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32</w:t>
            </w:r>
          </w:p>
        </w:tc>
        <w:tc>
          <w:tcPr>
            <w:tcW w:w="285" w:type="pct"/>
            <w:tcBorders>
              <w:tl2br w:val="nil"/>
              <w:tr2bl w:val="nil"/>
            </w:tcBorders>
            <w:shd w:val="clear" w:color="auto" w:fill="auto"/>
            <w:noWrap/>
            <w:tcMar>
              <w:top w:w="12" w:type="dxa"/>
              <w:left w:w="12" w:type="dxa"/>
              <w:right w:w="12" w:type="dxa"/>
            </w:tcMar>
            <w:vAlign w:val="center"/>
          </w:tcPr>
          <w:p w14:paraId="35DCE24A">
            <w:pPr>
              <w:keepNext w:val="0"/>
              <w:keepLines w:val="0"/>
              <w:pageBreakBefore w:val="0"/>
              <w:widowControl/>
              <w:wordWrap/>
              <w:topLinePunct w:val="0"/>
              <w:bidi w:val="0"/>
              <w:spacing w:line="240" w:lineRule="auto"/>
              <w:ind w:left="0" w:leftChars="0" w:right="0" w:rightChars="0"/>
              <w:jc w:val="center"/>
              <w:textAlignment w:val="bottom"/>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noWrap/>
            <w:tcMar>
              <w:top w:w="12" w:type="dxa"/>
              <w:left w:w="12" w:type="dxa"/>
              <w:right w:w="12" w:type="dxa"/>
            </w:tcMar>
            <w:vAlign w:val="center"/>
          </w:tcPr>
          <w:p w14:paraId="2C1832CC">
            <w:pPr>
              <w:keepNext w:val="0"/>
              <w:keepLines w:val="0"/>
              <w:pageBreakBefore w:val="0"/>
              <w:wordWrap/>
              <w:topLinePunct w:val="0"/>
              <w:bidi w:val="0"/>
              <w:spacing w:line="240" w:lineRule="auto"/>
              <w:ind w:left="0" w:leftChars="0" w:right="0" w:rightChars="0"/>
              <w:jc w:val="center"/>
              <w:rPr>
                <w:rFonts w:hint="eastAsia" w:ascii="Times New Roman" w:hAnsi="Times New Roman" w:cs="Times New Roman" w:eastAsiaTheme="minorEastAsia"/>
                <w:bCs/>
                <w:kern w:val="0"/>
                <w:sz w:val="17"/>
                <w:szCs w:val="17"/>
                <w:highlight w:val="none"/>
                <w:lang w:val="en-US" w:eastAsia="zh-CN" w:bidi="ar-SA"/>
              </w:rPr>
            </w:pPr>
            <w:r>
              <w:rPr>
                <w:rFonts w:hint="eastAsia" w:ascii="Times New Roman" w:hAnsi="Times New Roman" w:eastAsia="宋体" w:cs="Times New Roman"/>
                <w:color w:val="auto"/>
                <w:sz w:val="18"/>
                <w:szCs w:val="18"/>
                <w:highlight w:val="none"/>
                <w:lang w:val="en-US" w:eastAsia="zh-CN"/>
              </w:rPr>
              <w:t>8</w:t>
            </w:r>
          </w:p>
        </w:tc>
        <w:tc>
          <w:tcPr>
            <w:tcW w:w="295" w:type="pct"/>
            <w:tcBorders>
              <w:tl2br w:val="nil"/>
              <w:tr2bl w:val="nil"/>
            </w:tcBorders>
            <w:shd w:val="clear" w:color="auto" w:fill="auto"/>
            <w:noWrap/>
            <w:tcMar>
              <w:top w:w="12" w:type="dxa"/>
              <w:left w:w="12" w:type="dxa"/>
              <w:right w:w="12" w:type="dxa"/>
            </w:tcMar>
            <w:vAlign w:val="center"/>
          </w:tcPr>
          <w:p w14:paraId="4CAFC4C6">
            <w:pPr>
              <w:keepNext w:val="0"/>
              <w:keepLines w:val="0"/>
              <w:pageBreakBefore w:val="0"/>
              <w:widowControl/>
              <w:suppressLineNumbers w:val="0"/>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55F02E92">
            <w:pPr>
              <w:keepNext w:val="0"/>
              <w:keepLines w:val="0"/>
              <w:pageBreakBefore w:val="0"/>
              <w:widowControl/>
              <w:suppressLineNumbers w:val="0"/>
              <w:wordWrap/>
              <w:topLinePunct w:val="0"/>
              <w:bidi w:val="0"/>
              <w:spacing w:line="240" w:lineRule="auto"/>
              <w:ind w:left="0" w:leftChars="0" w:right="0" w:rightChars="0"/>
              <w:jc w:val="center"/>
              <w:textAlignment w:val="center"/>
              <w:rPr>
                <w:rFonts w:hint="default" w:ascii="Times New Roman" w:hAnsi="Times New Roman" w:cs="Times New Roman" w:eastAsiaTheme="minorEastAsia"/>
                <w:bCs/>
                <w:kern w:val="0"/>
                <w:sz w:val="17"/>
                <w:szCs w:val="17"/>
                <w:highlight w:val="none"/>
                <w:lang w:val="en-US" w:eastAsia="zh-CN" w:bidi="ar-SA"/>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811" w:type="pct"/>
            <w:vMerge w:val="continue"/>
            <w:tcBorders>
              <w:tl2br w:val="nil"/>
              <w:tr2bl w:val="nil"/>
            </w:tcBorders>
            <w:shd w:val="clear" w:color="auto" w:fill="auto"/>
            <w:tcMar>
              <w:top w:w="12" w:type="dxa"/>
              <w:left w:w="12" w:type="dxa"/>
              <w:right w:w="12" w:type="dxa"/>
            </w:tcMar>
            <w:vAlign w:val="center"/>
          </w:tcPr>
          <w:p w14:paraId="7199C50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71E33F5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9A9E6B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005E4E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19DA8A6F">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1225246016</w:t>
            </w:r>
          </w:p>
        </w:tc>
        <w:tc>
          <w:tcPr>
            <w:tcW w:w="1250" w:type="pct"/>
            <w:tcBorders>
              <w:tl2br w:val="nil"/>
              <w:tr2bl w:val="nil"/>
            </w:tcBorders>
            <w:shd w:val="clear" w:color="auto" w:fill="auto"/>
            <w:noWrap/>
            <w:tcMar>
              <w:top w:w="12" w:type="dxa"/>
              <w:left w:w="12" w:type="dxa"/>
              <w:right w:w="12" w:type="dxa"/>
            </w:tcMar>
            <w:vAlign w:val="center"/>
          </w:tcPr>
          <w:p w14:paraId="76997C55">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汽车保险与理赔</w:t>
            </w:r>
          </w:p>
          <w:p w14:paraId="1BAC11A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 </w:t>
            </w:r>
            <w:r>
              <w:rPr>
                <w:rFonts w:hint="eastAsia" w:ascii="Times New Roman" w:hAnsi="Times New Roman" w:eastAsia="宋体" w:cs="Times New Roman"/>
                <w:bCs/>
                <w:kern w:val="0"/>
                <w:sz w:val="17"/>
                <w:szCs w:val="17"/>
                <w:lang w:val="en-US" w:eastAsia="zh-CN" w:bidi="ar"/>
              </w:rPr>
              <w:t>I</w:t>
            </w:r>
            <w:r>
              <w:rPr>
                <w:rFonts w:hint="default" w:ascii="Times New Roman" w:hAnsi="Times New Roman" w:eastAsia="宋体" w:cs="Times New Roman"/>
                <w:bCs/>
                <w:kern w:val="0"/>
                <w:sz w:val="17"/>
                <w:szCs w:val="17"/>
                <w:lang w:val="en-US" w:eastAsia="zh-CN" w:bidi="ar"/>
              </w:rPr>
              <w:t xml:space="preserve">nsurance and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laims </w:t>
            </w:r>
            <w:r>
              <w:rPr>
                <w:rFonts w:hint="eastAsia" w:ascii="Times New Roman" w:hAnsi="Times New Roman" w:eastAsia="宋体" w:cs="Times New Roman"/>
                <w:bCs/>
                <w:kern w:val="0"/>
                <w:sz w:val="17"/>
                <w:szCs w:val="17"/>
                <w:lang w:val="en-US" w:eastAsia="zh-CN" w:bidi="ar"/>
              </w:rPr>
              <w:t>S</w:t>
            </w:r>
            <w:r>
              <w:rPr>
                <w:rFonts w:hint="default" w:ascii="Times New Roman" w:hAnsi="Times New Roman" w:eastAsia="宋体" w:cs="Times New Roman"/>
                <w:bCs/>
                <w:kern w:val="0"/>
                <w:sz w:val="17"/>
                <w:szCs w:val="17"/>
                <w:lang w:val="en-US" w:eastAsia="zh-CN" w:bidi="ar"/>
              </w:rPr>
              <w:t>ettlement</w:t>
            </w:r>
          </w:p>
        </w:tc>
        <w:tc>
          <w:tcPr>
            <w:tcW w:w="306" w:type="pct"/>
            <w:tcBorders>
              <w:tl2br w:val="nil"/>
              <w:tr2bl w:val="nil"/>
            </w:tcBorders>
            <w:shd w:val="clear" w:color="auto" w:fill="auto"/>
            <w:noWrap/>
            <w:tcMar>
              <w:top w:w="12" w:type="dxa"/>
              <w:left w:w="12" w:type="dxa"/>
              <w:right w:w="12" w:type="dxa"/>
            </w:tcMar>
            <w:vAlign w:val="center"/>
          </w:tcPr>
          <w:p w14:paraId="10BFF36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248" w:type="pct"/>
            <w:tcBorders>
              <w:tl2br w:val="nil"/>
              <w:tr2bl w:val="nil"/>
            </w:tcBorders>
            <w:shd w:val="clear" w:color="auto" w:fill="auto"/>
            <w:noWrap/>
            <w:tcMar>
              <w:top w:w="12" w:type="dxa"/>
              <w:left w:w="12" w:type="dxa"/>
              <w:right w:w="12" w:type="dxa"/>
            </w:tcMar>
            <w:vAlign w:val="center"/>
          </w:tcPr>
          <w:p w14:paraId="4A98011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285" w:type="pct"/>
            <w:tcBorders>
              <w:tl2br w:val="nil"/>
              <w:tr2bl w:val="nil"/>
            </w:tcBorders>
            <w:shd w:val="clear" w:color="auto" w:fill="auto"/>
            <w:noWrap/>
            <w:tcMar>
              <w:top w:w="12" w:type="dxa"/>
              <w:left w:w="12" w:type="dxa"/>
              <w:right w:w="12" w:type="dxa"/>
            </w:tcMar>
            <w:vAlign w:val="center"/>
          </w:tcPr>
          <w:p w14:paraId="1707D99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r>
              <w:rPr>
                <w:rFonts w:hint="eastAsia" w:ascii="Times New Roman" w:hAnsi="Times New Roman" w:eastAsia="宋体" w:cs="Times New Roman"/>
                <w:color w:val="auto"/>
                <w:sz w:val="18"/>
                <w:szCs w:val="18"/>
                <w:highlight w:val="none"/>
                <w:lang w:val="en-US" w:eastAsia="zh-CN"/>
              </w:rPr>
              <w:t>8</w:t>
            </w:r>
          </w:p>
        </w:tc>
        <w:tc>
          <w:tcPr>
            <w:tcW w:w="301" w:type="pct"/>
            <w:tcBorders>
              <w:tl2br w:val="nil"/>
              <w:tr2bl w:val="nil"/>
            </w:tcBorders>
            <w:shd w:val="clear" w:color="auto" w:fill="auto"/>
            <w:noWrap/>
            <w:tcMar>
              <w:top w:w="12" w:type="dxa"/>
              <w:left w:w="12" w:type="dxa"/>
              <w:right w:w="12" w:type="dxa"/>
            </w:tcMar>
            <w:vAlign w:val="center"/>
          </w:tcPr>
          <w:p w14:paraId="4917DE2C">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4</w:t>
            </w:r>
          </w:p>
        </w:tc>
        <w:tc>
          <w:tcPr>
            <w:tcW w:w="295" w:type="pct"/>
            <w:tcBorders>
              <w:tl2br w:val="nil"/>
              <w:tr2bl w:val="nil"/>
            </w:tcBorders>
            <w:shd w:val="clear" w:color="auto" w:fill="auto"/>
            <w:noWrap/>
            <w:tcMar>
              <w:top w:w="12" w:type="dxa"/>
              <w:left w:w="12" w:type="dxa"/>
              <w:right w:w="12" w:type="dxa"/>
            </w:tcMar>
            <w:vAlign w:val="center"/>
          </w:tcPr>
          <w:p w14:paraId="19AE0FC0">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79BEA127">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811" w:type="pct"/>
            <w:vMerge w:val="continue"/>
            <w:tcBorders>
              <w:tl2br w:val="nil"/>
              <w:tr2bl w:val="nil"/>
            </w:tcBorders>
            <w:shd w:val="clear" w:color="auto" w:fill="auto"/>
            <w:tcMar>
              <w:top w:w="12" w:type="dxa"/>
              <w:left w:w="12" w:type="dxa"/>
              <w:right w:w="12" w:type="dxa"/>
            </w:tcMar>
            <w:vAlign w:val="center"/>
          </w:tcPr>
          <w:p w14:paraId="697572F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136FD3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041168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21356E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6E95ECA">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1225246018</w:t>
            </w:r>
          </w:p>
        </w:tc>
        <w:tc>
          <w:tcPr>
            <w:tcW w:w="1250" w:type="pct"/>
            <w:tcBorders>
              <w:tl2br w:val="nil"/>
              <w:tr2bl w:val="nil"/>
            </w:tcBorders>
            <w:shd w:val="clear" w:color="auto" w:fill="auto"/>
            <w:noWrap/>
            <w:tcMar>
              <w:top w:w="12" w:type="dxa"/>
              <w:left w:w="12" w:type="dxa"/>
              <w:right w:w="12" w:type="dxa"/>
            </w:tcMar>
            <w:vAlign w:val="center"/>
          </w:tcPr>
          <w:p w14:paraId="73E2167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燃料电池汽车技术</w:t>
            </w:r>
          </w:p>
          <w:p w14:paraId="1577716B">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Fuel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ell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ar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noWrap/>
            <w:tcMar>
              <w:top w:w="12" w:type="dxa"/>
              <w:left w:w="12" w:type="dxa"/>
              <w:right w:w="12" w:type="dxa"/>
            </w:tcMar>
            <w:vAlign w:val="center"/>
          </w:tcPr>
          <w:p w14:paraId="3323EBB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248" w:type="pct"/>
            <w:tcBorders>
              <w:tl2br w:val="nil"/>
              <w:tr2bl w:val="nil"/>
            </w:tcBorders>
            <w:shd w:val="clear" w:color="auto" w:fill="auto"/>
            <w:noWrap/>
            <w:tcMar>
              <w:top w:w="12" w:type="dxa"/>
              <w:left w:w="12" w:type="dxa"/>
              <w:right w:w="12" w:type="dxa"/>
            </w:tcMar>
            <w:vAlign w:val="center"/>
          </w:tcPr>
          <w:p w14:paraId="57D2344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285" w:type="pct"/>
            <w:tcBorders>
              <w:tl2br w:val="nil"/>
              <w:tr2bl w:val="nil"/>
            </w:tcBorders>
            <w:shd w:val="clear" w:color="auto" w:fill="auto"/>
            <w:noWrap/>
            <w:tcMar>
              <w:top w:w="12" w:type="dxa"/>
              <w:left w:w="12" w:type="dxa"/>
              <w:right w:w="12" w:type="dxa"/>
            </w:tcMar>
            <w:vAlign w:val="center"/>
          </w:tcPr>
          <w:p w14:paraId="2B28EBE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24</w:t>
            </w:r>
          </w:p>
        </w:tc>
        <w:tc>
          <w:tcPr>
            <w:tcW w:w="301" w:type="pct"/>
            <w:tcBorders>
              <w:tl2br w:val="nil"/>
              <w:tr2bl w:val="nil"/>
            </w:tcBorders>
            <w:shd w:val="clear" w:color="auto" w:fill="auto"/>
            <w:noWrap/>
            <w:tcMar>
              <w:top w:w="12" w:type="dxa"/>
              <w:left w:w="12" w:type="dxa"/>
              <w:right w:w="12" w:type="dxa"/>
            </w:tcMar>
            <w:vAlign w:val="center"/>
          </w:tcPr>
          <w:p w14:paraId="73BBFDAD">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8</w:t>
            </w:r>
          </w:p>
        </w:tc>
        <w:tc>
          <w:tcPr>
            <w:tcW w:w="295" w:type="pct"/>
            <w:tcBorders>
              <w:tl2br w:val="nil"/>
              <w:tr2bl w:val="nil"/>
            </w:tcBorders>
            <w:shd w:val="clear" w:color="auto" w:fill="auto"/>
            <w:noWrap/>
            <w:tcMar>
              <w:top w:w="12" w:type="dxa"/>
              <w:left w:w="12" w:type="dxa"/>
              <w:right w:w="12" w:type="dxa"/>
            </w:tcMar>
            <w:vAlign w:val="center"/>
          </w:tcPr>
          <w:p w14:paraId="1AA69137">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75355D71">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811" w:type="pct"/>
            <w:vMerge w:val="continue"/>
            <w:tcBorders>
              <w:tl2br w:val="nil"/>
              <w:tr2bl w:val="nil"/>
            </w:tcBorders>
            <w:shd w:val="clear" w:color="auto" w:fill="auto"/>
            <w:tcMar>
              <w:top w:w="12" w:type="dxa"/>
              <w:left w:w="12" w:type="dxa"/>
              <w:right w:w="12" w:type="dxa"/>
            </w:tcMar>
            <w:vAlign w:val="center"/>
          </w:tcPr>
          <w:p w14:paraId="0E2CCCD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787A28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0AAD1A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52D68D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7429CBE">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1225146022</w:t>
            </w:r>
          </w:p>
        </w:tc>
        <w:tc>
          <w:tcPr>
            <w:tcW w:w="1250" w:type="pct"/>
            <w:tcBorders>
              <w:tl2br w:val="nil"/>
              <w:tr2bl w:val="nil"/>
            </w:tcBorders>
            <w:shd w:val="clear" w:color="auto" w:fill="auto"/>
            <w:noWrap/>
            <w:tcMar>
              <w:top w:w="12" w:type="dxa"/>
              <w:left w:w="12" w:type="dxa"/>
              <w:right w:w="12" w:type="dxa"/>
            </w:tcMar>
            <w:vAlign w:val="center"/>
          </w:tcPr>
          <w:p w14:paraId="67EEBC5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汽车专业英语</w:t>
            </w:r>
          </w:p>
          <w:p w14:paraId="5E46450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English for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utomobile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ajors</w:t>
            </w:r>
          </w:p>
        </w:tc>
        <w:tc>
          <w:tcPr>
            <w:tcW w:w="306" w:type="pct"/>
            <w:tcBorders>
              <w:tl2br w:val="nil"/>
              <w:tr2bl w:val="nil"/>
            </w:tcBorders>
            <w:shd w:val="clear" w:color="auto" w:fill="auto"/>
            <w:noWrap/>
            <w:tcMar>
              <w:top w:w="12" w:type="dxa"/>
              <w:left w:w="12" w:type="dxa"/>
              <w:right w:w="12" w:type="dxa"/>
            </w:tcMar>
            <w:vAlign w:val="center"/>
          </w:tcPr>
          <w:p w14:paraId="590B0A1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248" w:type="pct"/>
            <w:tcBorders>
              <w:tl2br w:val="nil"/>
              <w:tr2bl w:val="nil"/>
            </w:tcBorders>
            <w:shd w:val="clear" w:color="auto" w:fill="auto"/>
            <w:noWrap/>
            <w:tcMar>
              <w:top w:w="12" w:type="dxa"/>
              <w:left w:w="12" w:type="dxa"/>
              <w:right w:w="12" w:type="dxa"/>
            </w:tcMar>
            <w:vAlign w:val="center"/>
          </w:tcPr>
          <w:p w14:paraId="7ED80E4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285" w:type="pct"/>
            <w:tcBorders>
              <w:tl2br w:val="nil"/>
              <w:tr2bl w:val="nil"/>
            </w:tcBorders>
            <w:shd w:val="clear" w:color="auto" w:fill="auto"/>
            <w:noWrap/>
            <w:tcMar>
              <w:top w:w="12" w:type="dxa"/>
              <w:left w:w="12" w:type="dxa"/>
              <w:right w:w="12" w:type="dxa"/>
            </w:tcMar>
            <w:vAlign w:val="center"/>
          </w:tcPr>
          <w:p w14:paraId="34E6123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16</w:t>
            </w:r>
          </w:p>
        </w:tc>
        <w:tc>
          <w:tcPr>
            <w:tcW w:w="301" w:type="pct"/>
            <w:tcBorders>
              <w:tl2br w:val="nil"/>
              <w:tr2bl w:val="nil"/>
            </w:tcBorders>
            <w:shd w:val="clear" w:color="auto" w:fill="auto"/>
            <w:noWrap/>
            <w:tcMar>
              <w:top w:w="12" w:type="dxa"/>
              <w:left w:w="12" w:type="dxa"/>
              <w:right w:w="12" w:type="dxa"/>
            </w:tcMar>
            <w:vAlign w:val="center"/>
          </w:tcPr>
          <w:p w14:paraId="530B325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0</w:t>
            </w:r>
          </w:p>
        </w:tc>
        <w:tc>
          <w:tcPr>
            <w:tcW w:w="295" w:type="pct"/>
            <w:tcBorders>
              <w:tl2br w:val="nil"/>
              <w:tr2bl w:val="nil"/>
            </w:tcBorders>
            <w:shd w:val="clear" w:color="auto" w:fill="auto"/>
            <w:noWrap/>
            <w:tcMar>
              <w:top w:w="12" w:type="dxa"/>
              <w:left w:w="12" w:type="dxa"/>
              <w:right w:w="12" w:type="dxa"/>
            </w:tcMar>
            <w:vAlign w:val="center"/>
          </w:tcPr>
          <w:p w14:paraId="4791E867">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22A2B92D">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4</w:t>
            </w:r>
          </w:p>
        </w:tc>
        <w:tc>
          <w:tcPr>
            <w:tcW w:w="811" w:type="pct"/>
            <w:vMerge w:val="continue"/>
            <w:tcBorders>
              <w:tl2br w:val="nil"/>
              <w:tr2bl w:val="nil"/>
            </w:tcBorders>
            <w:shd w:val="clear" w:color="auto" w:fill="auto"/>
            <w:tcMar>
              <w:top w:w="12" w:type="dxa"/>
              <w:left w:w="12" w:type="dxa"/>
              <w:right w:w="12" w:type="dxa"/>
            </w:tcMar>
            <w:vAlign w:val="center"/>
          </w:tcPr>
          <w:p w14:paraId="1060A80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67DE5ED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9DB726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866FA5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2776573">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1225146023</w:t>
            </w:r>
          </w:p>
        </w:tc>
        <w:tc>
          <w:tcPr>
            <w:tcW w:w="1250" w:type="pct"/>
            <w:tcBorders>
              <w:tl2br w:val="nil"/>
              <w:tr2bl w:val="nil"/>
            </w:tcBorders>
            <w:shd w:val="clear" w:color="auto" w:fill="auto"/>
            <w:noWrap/>
            <w:tcMar>
              <w:top w:w="12" w:type="dxa"/>
              <w:left w:w="12" w:type="dxa"/>
              <w:right w:w="12" w:type="dxa"/>
            </w:tcMar>
            <w:vAlign w:val="center"/>
          </w:tcPr>
          <w:p w14:paraId="3CA6EDC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汽车试验技术</w:t>
            </w:r>
          </w:p>
          <w:p w14:paraId="19DE911D">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Automotive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est technology</w:t>
            </w:r>
          </w:p>
        </w:tc>
        <w:tc>
          <w:tcPr>
            <w:tcW w:w="306" w:type="pct"/>
            <w:tcBorders>
              <w:tl2br w:val="nil"/>
              <w:tr2bl w:val="nil"/>
            </w:tcBorders>
            <w:shd w:val="clear" w:color="auto" w:fill="auto"/>
            <w:noWrap/>
            <w:tcMar>
              <w:top w:w="12" w:type="dxa"/>
              <w:left w:w="12" w:type="dxa"/>
              <w:right w:w="12" w:type="dxa"/>
            </w:tcMar>
            <w:vAlign w:val="center"/>
          </w:tcPr>
          <w:p w14:paraId="1FC2993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1.5</w:t>
            </w:r>
          </w:p>
        </w:tc>
        <w:tc>
          <w:tcPr>
            <w:tcW w:w="248" w:type="pct"/>
            <w:tcBorders>
              <w:tl2br w:val="nil"/>
              <w:tr2bl w:val="nil"/>
            </w:tcBorders>
            <w:shd w:val="clear" w:color="auto" w:fill="auto"/>
            <w:noWrap/>
            <w:tcMar>
              <w:top w:w="12" w:type="dxa"/>
              <w:left w:w="12" w:type="dxa"/>
              <w:right w:w="12" w:type="dxa"/>
            </w:tcMar>
            <w:vAlign w:val="center"/>
          </w:tcPr>
          <w:p w14:paraId="2023683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285" w:type="pct"/>
            <w:tcBorders>
              <w:tl2br w:val="nil"/>
              <w:tr2bl w:val="nil"/>
            </w:tcBorders>
            <w:shd w:val="clear" w:color="auto" w:fill="auto"/>
            <w:noWrap/>
            <w:tcMar>
              <w:top w:w="12" w:type="dxa"/>
              <w:left w:w="12" w:type="dxa"/>
              <w:right w:w="12" w:type="dxa"/>
            </w:tcMar>
            <w:vAlign w:val="center"/>
          </w:tcPr>
          <w:p w14:paraId="7669C31B">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noWrap/>
            <w:tcMar>
              <w:top w:w="12" w:type="dxa"/>
              <w:left w:w="12" w:type="dxa"/>
              <w:right w:w="12" w:type="dxa"/>
            </w:tcMar>
            <w:vAlign w:val="center"/>
          </w:tcPr>
          <w:p w14:paraId="59C14DE8">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0</w:t>
            </w:r>
          </w:p>
        </w:tc>
        <w:tc>
          <w:tcPr>
            <w:tcW w:w="295" w:type="pct"/>
            <w:tcBorders>
              <w:tl2br w:val="nil"/>
              <w:tr2bl w:val="nil"/>
            </w:tcBorders>
            <w:shd w:val="clear" w:color="auto" w:fill="auto"/>
            <w:noWrap/>
            <w:tcMar>
              <w:top w:w="12" w:type="dxa"/>
              <w:left w:w="12" w:type="dxa"/>
              <w:right w:w="12" w:type="dxa"/>
            </w:tcMar>
            <w:vAlign w:val="center"/>
          </w:tcPr>
          <w:p w14:paraId="6BF3D60E">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4CEF2DA0">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11" w:type="pct"/>
            <w:vMerge w:val="restart"/>
            <w:tcBorders>
              <w:tl2br w:val="nil"/>
              <w:tr2bl w:val="nil"/>
            </w:tcBorders>
            <w:shd w:val="clear" w:color="auto" w:fill="auto"/>
            <w:tcMar>
              <w:top w:w="12" w:type="dxa"/>
              <w:left w:w="12" w:type="dxa"/>
              <w:right w:w="12" w:type="dxa"/>
            </w:tcMar>
            <w:vAlign w:val="center"/>
          </w:tcPr>
          <w:p w14:paraId="621C0D9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至少选修2学分</w:t>
            </w:r>
          </w:p>
        </w:tc>
      </w:tr>
      <w:tr w14:paraId="51EE827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E27B56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5A000F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E85510F">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1225146024</w:t>
            </w:r>
          </w:p>
        </w:tc>
        <w:tc>
          <w:tcPr>
            <w:tcW w:w="1250" w:type="pct"/>
            <w:tcBorders>
              <w:tl2br w:val="nil"/>
              <w:tr2bl w:val="nil"/>
            </w:tcBorders>
            <w:shd w:val="clear" w:color="auto" w:fill="auto"/>
            <w:noWrap/>
            <w:tcMar>
              <w:top w:w="12" w:type="dxa"/>
              <w:left w:w="12" w:type="dxa"/>
              <w:right w:w="12" w:type="dxa"/>
            </w:tcMar>
            <w:vAlign w:val="center"/>
          </w:tcPr>
          <w:p w14:paraId="6BFBE5A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汽车轻量化技术</w:t>
            </w:r>
          </w:p>
          <w:p w14:paraId="6D1ED599">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Automobile </w:t>
            </w:r>
            <w:r>
              <w:rPr>
                <w:rFonts w:hint="eastAsia" w:ascii="Times New Roman" w:hAnsi="Times New Roman" w:eastAsia="宋体" w:cs="Times New Roman"/>
                <w:bCs/>
                <w:kern w:val="0"/>
                <w:sz w:val="17"/>
                <w:szCs w:val="17"/>
                <w:lang w:val="en-US" w:eastAsia="zh-CN" w:bidi="ar"/>
              </w:rPr>
              <w:t>L</w:t>
            </w:r>
            <w:r>
              <w:rPr>
                <w:rFonts w:hint="default" w:ascii="Times New Roman" w:hAnsi="Times New Roman" w:eastAsia="宋体" w:cs="Times New Roman"/>
                <w:bCs/>
                <w:kern w:val="0"/>
                <w:sz w:val="17"/>
                <w:szCs w:val="17"/>
                <w:lang w:val="en-US" w:eastAsia="zh-CN" w:bidi="ar"/>
              </w:rPr>
              <w:t xml:space="preserve">ightweight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noWrap/>
            <w:tcMar>
              <w:top w:w="12" w:type="dxa"/>
              <w:left w:w="12" w:type="dxa"/>
              <w:right w:w="12" w:type="dxa"/>
            </w:tcMar>
            <w:vAlign w:val="center"/>
          </w:tcPr>
          <w:p w14:paraId="10D116D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1.5</w:t>
            </w:r>
          </w:p>
        </w:tc>
        <w:tc>
          <w:tcPr>
            <w:tcW w:w="248" w:type="pct"/>
            <w:tcBorders>
              <w:tl2br w:val="nil"/>
              <w:tr2bl w:val="nil"/>
            </w:tcBorders>
            <w:shd w:val="clear" w:color="auto" w:fill="auto"/>
            <w:noWrap/>
            <w:tcMar>
              <w:top w:w="12" w:type="dxa"/>
              <w:left w:w="12" w:type="dxa"/>
              <w:right w:w="12" w:type="dxa"/>
            </w:tcMar>
            <w:vAlign w:val="center"/>
          </w:tcPr>
          <w:p w14:paraId="3919FFB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285" w:type="pct"/>
            <w:tcBorders>
              <w:tl2br w:val="nil"/>
              <w:tr2bl w:val="nil"/>
            </w:tcBorders>
            <w:shd w:val="clear" w:color="auto" w:fill="auto"/>
            <w:noWrap/>
            <w:tcMar>
              <w:top w:w="12" w:type="dxa"/>
              <w:left w:w="12" w:type="dxa"/>
              <w:right w:w="12" w:type="dxa"/>
            </w:tcMar>
            <w:vAlign w:val="center"/>
          </w:tcPr>
          <w:p w14:paraId="41BFD6D9">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noWrap/>
            <w:tcMar>
              <w:top w:w="12" w:type="dxa"/>
              <w:left w:w="12" w:type="dxa"/>
              <w:right w:w="12" w:type="dxa"/>
            </w:tcMar>
            <w:vAlign w:val="center"/>
          </w:tcPr>
          <w:p w14:paraId="289EC207">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0</w:t>
            </w:r>
          </w:p>
        </w:tc>
        <w:tc>
          <w:tcPr>
            <w:tcW w:w="295" w:type="pct"/>
            <w:tcBorders>
              <w:tl2br w:val="nil"/>
              <w:tr2bl w:val="nil"/>
            </w:tcBorders>
            <w:shd w:val="clear" w:color="auto" w:fill="auto"/>
            <w:noWrap/>
            <w:tcMar>
              <w:top w:w="12" w:type="dxa"/>
              <w:left w:w="12" w:type="dxa"/>
              <w:right w:w="12" w:type="dxa"/>
            </w:tcMar>
            <w:vAlign w:val="center"/>
          </w:tcPr>
          <w:p w14:paraId="3DA157B0">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0DEDD178">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11" w:type="pct"/>
            <w:vMerge w:val="continue"/>
            <w:tcBorders>
              <w:tl2br w:val="nil"/>
              <w:tr2bl w:val="nil"/>
            </w:tcBorders>
            <w:shd w:val="clear" w:color="auto" w:fill="auto"/>
            <w:tcMar>
              <w:top w:w="12" w:type="dxa"/>
              <w:left w:w="12" w:type="dxa"/>
              <w:right w:w="12" w:type="dxa"/>
            </w:tcMar>
            <w:vAlign w:val="center"/>
          </w:tcPr>
          <w:p w14:paraId="1A9DBDE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772EAB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559A4E59">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3E23D5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6F240776">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1225146025</w:t>
            </w:r>
          </w:p>
        </w:tc>
        <w:tc>
          <w:tcPr>
            <w:tcW w:w="1250" w:type="pct"/>
            <w:tcBorders>
              <w:tl2br w:val="nil"/>
              <w:tr2bl w:val="nil"/>
            </w:tcBorders>
            <w:shd w:val="clear" w:color="auto" w:fill="auto"/>
            <w:noWrap/>
            <w:tcMar>
              <w:top w:w="12" w:type="dxa"/>
              <w:left w:w="12" w:type="dxa"/>
              <w:right w:w="12" w:type="dxa"/>
            </w:tcMar>
            <w:vAlign w:val="center"/>
          </w:tcPr>
          <w:p w14:paraId="681D6142">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汽车生产管理</w:t>
            </w:r>
          </w:p>
          <w:p w14:paraId="7AF94BF2">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Automobile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 xml:space="preserve">roduction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anagement</w:t>
            </w:r>
          </w:p>
        </w:tc>
        <w:tc>
          <w:tcPr>
            <w:tcW w:w="306" w:type="pct"/>
            <w:tcBorders>
              <w:tl2br w:val="nil"/>
              <w:tr2bl w:val="nil"/>
            </w:tcBorders>
            <w:shd w:val="clear" w:color="auto" w:fill="auto"/>
            <w:noWrap/>
            <w:tcMar>
              <w:top w:w="12" w:type="dxa"/>
              <w:left w:w="12" w:type="dxa"/>
              <w:right w:w="12" w:type="dxa"/>
            </w:tcMar>
            <w:vAlign w:val="center"/>
          </w:tcPr>
          <w:p w14:paraId="522920E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1.5</w:t>
            </w:r>
          </w:p>
        </w:tc>
        <w:tc>
          <w:tcPr>
            <w:tcW w:w="248" w:type="pct"/>
            <w:tcBorders>
              <w:tl2br w:val="nil"/>
              <w:tr2bl w:val="nil"/>
            </w:tcBorders>
            <w:shd w:val="clear" w:color="auto" w:fill="auto"/>
            <w:noWrap/>
            <w:tcMar>
              <w:top w:w="12" w:type="dxa"/>
              <w:left w:w="12" w:type="dxa"/>
              <w:right w:w="12" w:type="dxa"/>
            </w:tcMar>
            <w:vAlign w:val="center"/>
          </w:tcPr>
          <w:p w14:paraId="56AC35C0">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285" w:type="pct"/>
            <w:tcBorders>
              <w:tl2br w:val="nil"/>
              <w:tr2bl w:val="nil"/>
            </w:tcBorders>
            <w:shd w:val="clear" w:color="auto" w:fill="auto"/>
            <w:noWrap/>
            <w:tcMar>
              <w:top w:w="12" w:type="dxa"/>
              <w:left w:w="12" w:type="dxa"/>
              <w:right w:w="12" w:type="dxa"/>
            </w:tcMar>
            <w:vAlign w:val="center"/>
          </w:tcPr>
          <w:p w14:paraId="06A0405C">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24</w:t>
            </w:r>
          </w:p>
        </w:tc>
        <w:tc>
          <w:tcPr>
            <w:tcW w:w="301" w:type="pct"/>
            <w:tcBorders>
              <w:tl2br w:val="nil"/>
              <w:tr2bl w:val="nil"/>
            </w:tcBorders>
            <w:shd w:val="clear" w:color="auto" w:fill="auto"/>
            <w:noWrap/>
            <w:tcMar>
              <w:top w:w="12" w:type="dxa"/>
              <w:left w:w="12" w:type="dxa"/>
              <w:right w:w="12" w:type="dxa"/>
            </w:tcMar>
            <w:vAlign w:val="center"/>
          </w:tcPr>
          <w:p w14:paraId="7AF8BC66">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0</w:t>
            </w:r>
          </w:p>
        </w:tc>
        <w:tc>
          <w:tcPr>
            <w:tcW w:w="295" w:type="pct"/>
            <w:tcBorders>
              <w:tl2br w:val="nil"/>
              <w:tr2bl w:val="nil"/>
            </w:tcBorders>
            <w:shd w:val="clear" w:color="auto" w:fill="auto"/>
            <w:noWrap/>
            <w:tcMar>
              <w:top w:w="12" w:type="dxa"/>
              <w:left w:w="12" w:type="dxa"/>
              <w:right w:w="12" w:type="dxa"/>
            </w:tcMar>
            <w:vAlign w:val="center"/>
          </w:tcPr>
          <w:p w14:paraId="14320F52">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6FDE3FC1">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11" w:type="pct"/>
            <w:vMerge w:val="continue"/>
            <w:tcBorders>
              <w:tl2br w:val="nil"/>
              <w:tr2bl w:val="nil"/>
            </w:tcBorders>
            <w:shd w:val="clear" w:color="auto" w:fill="auto"/>
            <w:tcMar>
              <w:top w:w="12" w:type="dxa"/>
              <w:left w:w="12" w:type="dxa"/>
              <w:right w:w="12" w:type="dxa"/>
            </w:tcMar>
            <w:vAlign w:val="center"/>
          </w:tcPr>
          <w:p w14:paraId="16CF1B9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566F89E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6B7A80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400737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22B4DE46">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1225246027</w:t>
            </w:r>
          </w:p>
        </w:tc>
        <w:tc>
          <w:tcPr>
            <w:tcW w:w="1250" w:type="pct"/>
            <w:tcBorders>
              <w:tl2br w:val="nil"/>
              <w:tr2bl w:val="nil"/>
            </w:tcBorders>
            <w:shd w:val="clear" w:color="auto" w:fill="auto"/>
            <w:noWrap/>
            <w:tcMar>
              <w:top w:w="12" w:type="dxa"/>
              <w:left w:w="12" w:type="dxa"/>
              <w:right w:w="12" w:type="dxa"/>
            </w:tcMar>
            <w:vAlign w:val="center"/>
          </w:tcPr>
          <w:p w14:paraId="09B8A24E">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智能汽车环境感知技术</w:t>
            </w:r>
          </w:p>
          <w:p w14:paraId="25BAE277">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Intelligent </w:t>
            </w:r>
            <w:r>
              <w:rPr>
                <w:rFonts w:hint="eastAsia" w:ascii="Times New Roman" w:hAnsi="Times New Roman" w:eastAsia="宋体" w:cs="Times New Roman"/>
                <w:bCs/>
                <w:kern w:val="0"/>
                <w:sz w:val="17"/>
                <w:szCs w:val="17"/>
                <w:lang w:val="en-US" w:eastAsia="zh-CN" w:bidi="ar"/>
              </w:rPr>
              <w:t>C</w:t>
            </w:r>
            <w:r>
              <w:rPr>
                <w:rFonts w:hint="default" w:ascii="Times New Roman" w:hAnsi="Times New Roman" w:eastAsia="宋体" w:cs="Times New Roman"/>
                <w:bCs/>
                <w:kern w:val="0"/>
                <w:sz w:val="17"/>
                <w:szCs w:val="17"/>
                <w:lang w:val="en-US" w:eastAsia="zh-CN" w:bidi="ar"/>
              </w:rPr>
              <w:t xml:space="preserve">ar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nvironmental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 xml:space="preserve">erception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echnology</w:t>
            </w:r>
          </w:p>
        </w:tc>
        <w:tc>
          <w:tcPr>
            <w:tcW w:w="306" w:type="pct"/>
            <w:tcBorders>
              <w:tl2br w:val="nil"/>
              <w:tr2bl w:val="nil"/>
            </w:tcBorders>
            <w:shd w:val="clear" w:color="auto" w:fill="auto"/>
            <w:noWrap/>
            <w:tcMar>
              <w:top w:w="12" w:type="dxa"/>
              <w:left w:w="12" w:type="dxa"/>
              <w:right w:w="12" w:type="dxa"/>
            </w:tcMar>
            <w:vAlign w:val="center"/>
          </w:tcPr>
          <w:p w14:paraId="2B5275F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248" w:type="pct"/>
            <w:tcBorders>
              <w:tl2br w:val="nil"/>
              <w:tr2bl w:val="nil"/>
            </w:tcBorders>
            <w:shd w:val="clear" w:color="auto" w:fill="auto"/>
            <w:noWrap/>
            <w:tcMar>
              <w:top w:w="12" w:type="dxa"/>
              <w:left w:w="12" w:type="dxa"/>
              <w:right w:w="12" w:type="dxa"/>
            </w:tcMar>
            <w:vAlign w:val="center"/>
          </w:tcPr>
          <w:p w14:paraId="184CC55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285" w:type="pct"/>
            <w:tcBorders>
              <w:tl2br w:val="nil"/>
              <w:tr2bl w:val="nil"/>
            </w:tcBorders>
            <w:shd w:val="clear" w:color="auto" w:fill="auto"/>
            <w:noWrap/>
            <w:tcMar>
              <w:top w:w="12" w:type="dxa"/>
              <w:left w:w="12" w:type="dxa"/>
              <w:right w:w="12" w:type="dxa"/>
            </w:tcMar>
            <w:vAlign w:val="center"/>
          </w:tcPr>
          <w:p w14:paraId="616F457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24</w:t>
            </w:r>
          </w:p>
        </w:tc>
        <w:tc>
          <w:tcPr>
            <w:tcW w:w="301" w:type="pct"/>
            <w:tcBorders>
              <w:tl2br w:val="nil"/>
              <w:tr2bl w:val="nil"/>
            </w:tcBorders>
            <w:shd w:val="clear" w:color="auto" w:fill="auto"/>
            <w:noWrap/>
            <w:tcMar>
              <w:top w:w="12" w:type="dxa"/>
              <w:left w:w="12" w:type="dxa"/>
              <w:right w:w="12" w:type="dxa"/>
            </w:tcMar>
            <w:vAlign w:val="center"/>
          </w:tcPr>
          <w:p w14:paraId="6FD5CD61">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8</w:t>
            </w:r>
          </w:p>
        </w:tc>
        <w:tc>
          <w:tcPr>
            <w:tcW w:w="295" w:type="pct"/>
            <w:tcBorders>
              <w:tl2br w:val="nil"/>
              <w:tr2bl w:val="nil"/>
            </w:tcBorders>
            <w:shd w:val="clear" w:color="auto" w:fill="auto"/>
            <w:noWrap/>
            <w:tcMar>
              <w:top w:w="12" w:type="dxa"/>
              <w:left w:w="12" w:type="dxa"/>
              <w:right w:w="12" w:type="dxa"/>
            </w:tcMar>
            <w:vAlign w:val="center"/>
          </w:tcPr>
          <w:p w14:paraId="78C35B68">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tcMar>
              <w:top w:w="12" w:type="dxa"/>
              <w:left w:w="12" w:type="dxa"/>
              <w:right w:w="12" w:type="dxa"/>
            </w:tcMar>
            <w:vAlign w:val="center"/>
          </w:tcPr>
          <w:p w14:paraId="278989B3">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11" w:type="pct"/>
            <w:vMerge w:val="continue"/>
            <w:tcBorders>
              <w:tl2br w:val="nil"/>
              <w:tr2bl w:val="nil"/>
            </w:tcBorders>
            <w:shd w:val="clear" w:color="auto" w:fill="auto"/>
            <w:tcMar>
              <w:top w:w="12" w:type="dxa"/>
              <w:left w:w="12" w:type="dxa"/>
              <w:right w:w="12" w:type="dxa"/>
            </w:tcMar>
            <w:vAlign w:val="center"/>
          </w:tcPr>
          <w:p w14:paraId="18C2BA3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776798F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FB1F0D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E6BF61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3786EF4">
            <w:pPr>
              <w:keepNext w:val="0"/>
              <w:keepLines w:val="0"/>
              <w:pageBreakBefore w:val="0"/>
              <w:widowControl/>
              <w:suppressLineNumbers w:val="0"/>
              <w:wordWrap/>
              <w:topLinePunct w:val="0"/>
              <w:bidi w:val="0"/>
              <w:spacing w:line="240" w:lineRule="auto"/>
              <w:ind w:left="0" w:right="0"/>
              <w:jc w:val="center"/>
              <w:textAlignment w:val="center"/>
              <w:rPr>
                <w:rFonts w:hint="default" w:ascii="宋体" w:hAnsi="宋体" w:eastAsia="宋体" w:cs="宋体"/>
                <w:i w:val="0"/>
                <w:iCs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1225246028</w:t>
            </w:r>
          </w:p>
        </w:tc>
        <w:tc>
          <w:tcPr>
            <w:tcW w:w="1250" w:type="pct"/>
            <w:tcBorders>
              <w:tl2br w:val="nil"/>
              <w:tr2bl w:val="nil"/>
            </w:tcBorders>
            <w:shd w:val="clear" w:color="auto" w:fill="auto"/>
            <w:tcMar>
              <w:top w:w="12" w:type="dxa"/>
              <w:left w:w="12" w:type="dxa"/>
              <w:right w:w="12" w:type="dxa"/>
            </w:tcMar>
            <w:vAlign w:val="center"/>
          </w:tcPr>
          <w:p w14:paraId="3BF0EAAD">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汽车性能仿真与评价</w:t>
            </w:r>
          </w:p>
          <w:p w14:paraId="2C3648B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Simulation and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valuation of </w:t>
            </w:r>
            <w:r>
              <w:rPr>
                <w:rFonts w:hint="eastAsia" w:ascii="Times New Roman" w:hAnsi="Times New Roman" w:eastAsia="宋体" w:cs="Times New Roman"/>
                <w:bCs/>
                <w:kern w:val="0"/>
                <w:sz w:val="17"/>
                <w:szCs w:val="17"/>
                <w:lang w:val="en-US" w:eastAsia="zh-CN" w:bidi="ar"/>
              </w:rPr>
              <w:t>A</w:t>
            </w:r>
            <w:r>
              <w:rPr>
                <w:rFonts w:hint="default" w:ascii="Times New Roman" w:hAnsi="Times New Roman" w:eastAsia="宋体" w:cs="Times New Roman"/>
                <w:bCs/>
                <w:kern w:val="0"/>
                <w:sz w:val="17"/>
                <w:szCs w:val="17"/>
                <w:lang w:val="en-US" w:eastAsia="zh-CN" w:bidi="ar"/>
              </w:rPr>
              <w:t xml:space="preserve">utomobile </w:t>
            </w:r>
            <w:r>
              <w:rPr>
                <w:rFonts w:hint="eastAsia" w:ascii="Times New Roman" w:hAnsi="Times New Roman" w:eastAsia="宋体" w:cs="Times New Roman"/>
                <w:bCs/>
                <w:kern w:val="0"/>
                <w:sz w:val="17"/>
                <w:szCs w:val="17"/>
                <w:lang w:val="en-US" w:eastAsia="zh-CN" w:bidi="ar"/>
              </w:rPr>
              <w:t>P</w:t>
            </w:r>
            <w:r>
              <w:rPr>
                <w:rFonts w:hint="default" w:ascii="Times New Roman" w:hAnsi="Times New Roman" w:eastAsia="宋体" w:cs="Times New Roman"/>
                <w:bCs/>
                <w:kern w:val="0"/>
                <w:sz w:val="17"/>
                <w:szCs w:val="17"/>
                <w:lang w:val="en-US" w:eastAsia="zh-CN" w:bidi="ar"/>
              </w:rPr>
              <w:t>erformance</w:t>
            </w:r>
          </w:p>
        </w:tc>
        <w:tc>
          <w:tcPr>
            <w:tcW w:w="306" w:type="pct"/>
            <w:tcBorders>
              <w:tl2br w:val="nil"/>
              <w:tr2bl w:val="nil"/>
            </w:tcBorders>
            <w:shd w:val="clear" w:color="auto" w:fill="auto"/>
            <w:tcMar>
              <w:top w:w="12" w:type="dxa"/>
              <w:left w:w="12" w:type="dxa"/>
              <w:right w:w="12" w:type="dxa"/>
            </w:tcMar>
            <w:vAlign w:val="center"/>
          </w:tcPr>
          <w:p w14:paraId="7480E30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248" w:type="pct"/>
            <w:tcBorders>
              <w:tl2br w:val="nil"/>
              <w:tr2bl w:val="nil"/>
            </w:tcBorders>
            <w:shd w:val="clear" w:color="auto" w:fill="auto"/>
            <w:tcMar>
              <w:top w:w="12" w:type="dxa"/>
              <w:left w:w="12" w:type="dxa"/>
              <w:right w:w="12" w:type="dxa"/>
            </w:tcMar>
            <w:vAlign w:val="center"/>
          </w:tcPr>
          <w:p w14:paraId="7FE0B4D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32</w:t>
            </w:r>
          </w:p>
        </w:tc>
        <w:tc>
          <w:tcPr>
            <w:tcW w:w="285" w:type="pct"/>
            <w:tcBorders>
              <w:tl2br w:val="nil"/>
              <w:tr2bl w:val="nil"/>
            </w:tcBorders>
            <w:shd w:val="clear" w:color="auto" w:fill="auto"/>
            <w:tcMar>
              <w:top w:w="12" w:type="dxa"/>
              <w:left w:w="12" w:type="dxa"/>
              <w:right w:w="12" w:type="dxa"/>
            </w:tcMar>
            <w:vAlign w:val="center"/>
          </w:tcPr>
          <w:p w14:paraId="314A54A6">
            <w:pPr>
              <w:keepNext w:val="0"/>
              <w:keepLines w:val="0"/>
              <w:pageBreakBefore w:val="0"/>
              <w:widowControl/>
              <w:wordWrap/>
              <w:topLinePunct w:val="0"/>
              <w:bidi w:val="0"/>
              <w:spacing w:line="240" w:lineRule="auto"/>
              <w:ind w:left="0" w:right="0"/>
              <w:jc w:val="center"/>
              <w:textAlignment w:val="bottom"/>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24</w:t>
            </w:r>
          </w:p>
        </w:tc>
        <w:tc>
          <w:tcPr>
            <w:tcW w:w="301" w:type="pct"/>
            <w:tcBorders>
              <w:tl2br w:val="nil"/>
              <w:tr2bl w:val="nil"/>
            </w:tcBorders>
            <w:shd w:val="clear" w:color="auto" w:fill="auto"/>
            <w:tcMar>
              <w:top w:w="12" w:type="dxa"/>
              <w:left w:w="12" w:type="dxa"/>
              <w:right w:w="12" w:type="dxa"/>
            </w:tcMar>
            <w:vAlign w:val="center"/>
          </w:tcPr>
          <w:p w14:paraId="3817250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8</w:t>
            </w:r>
          </w:p>
        </w:tc>
        <w:tc>
          <w:tcPr>
            <w:tcW w:w="295" w:type="pct"/>
            <w:tcBorders>
              <w:tl2br w:val="nil"/>
              <w:tr2bl w:val="nil"/>
            </w:tcBorders>
            <w:shd w:val="clear" w:color="auto" w:fill="auto"/>
            <w:tcMar>
              <w:top w:w="12" w:type="dxa"/>
              <w:left w:w="12" w:type="dxa"/>
              <w:right w:w="12" w:type="dxa"/>
            </w:tcMar>
            <w:vAlign w:val="center"/>
          </w:tcPr>
          <w:p w14:paraId="38AFEDFF">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考查</w:t>
            </w:r>
          </w:p>
        </w:tc>
        <w:tc>
          <w:tcPr>
            <w:tcW w:w="327" w:type="pct"/>
            <w:tcBorders>
              <w:tl2br w:val="nil"/>
              <w:tr2bl w:val="nil"/>
            </w:tcBorders>
            <w:shd w:val="clear" w:color="auto" w:fill="auto"/>
            <w:noWrap/>
            <w:tcMar>
              <w:top w:w="12" w:type="dxa"/>
              <w:left w:w="12" w:type="dxa"/>
              <w:right w:w="12" w:type="dxa"/>
            </w:tcMar>
            <w:vAlign w:val="center"/>
          </w:tcPr>
          <w:p w14:paraId="07BA21BD">
            <w:pPr>
              <w:keepNext w:val="0"/>
              <w:keepLines w:val="0"/>
              <w:pageBreakBefore w:val="0"/>
              <w:widowControl/>
              <w:suppressLineNumbers w:val="0"/>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eastAsia="宋体" w:cs="Times New Roman"/>
                <w:i w:val="0"/>
                <w:iCs w:val="0"/>
                <w:color w:val="000000"/>
                <w:kern w:val="0"/>
                <w:sz w:val="18"/>
                <w:szCs w:val="18"/>
                <w:highlight w:val="none"/>
                <w:u w:val="none"/>
                <w:lang w:val="en-US" w:eastAsia="zh-CN" w:bidi="ar"/>
              </w:rPr>
              <w:t>5</w:t>
            </w:r>
          </w:p>
        </w:tc>
        <w:tc>
          <w:tcPr>
            <w:tcW w:w="811" w:type="pct"/>
            <w:vMerge w:val="continue"/>
            <w:tcBorders>
              <w:tl2br w:val="nil"/>
              <w:tr2bl w:val="nil"/>
            </w:tcBorders>
            <w:shd w:val="clear" w:color="auto" w:fill="auto"/>
            <w:noWrap/>
            <w:tcMar>
              <w:top w:w="12" w:type="dxa"/>
              <w:left w:w="12" w:type="dxa"/>
              <w:right w:w="12" w:type="dxa"/>
            </w:tcMar>
            <w:vAlign w:val="center"/>
          </w:tcPr>
          <w:p w14:paraId="1312FFCA">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1D949F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BCEB57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A200A32">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4471" w:type="pct"/>
            <w:gridSpan w:val="9"/>
            <w:tcBorders>
              <w:tl2br w:val="nil"/>
              <w:tr2bl w:val="nil"/>
            </w:tcBorders>
            <w:shd w:val="clear" w:color="auto" w:fill="auto"/>
            <w:tcMar>
              <w:top w:w="12" w:type="dxa"/>
              <w:left w:w="12" w:type="dxa"/>
              <w:right w:w="12" w:type="dxa"/>
            </w:tcMar>
            <w:vAlign w:val="center"/>
          </w:tcPr>
          <w:p w14:paraId="76059276">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选修6学分</w:t>
            </w:r>
          </w:p>
        </w:tc>
      </w:tr>
      <w:tr w14:paraId="3610BA8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restart"/>
            <w:tcBorders>
              <w:tl2br w:val="nil"/>
              <w:tr2bl w:val="nil"/>
            </w:tcBorders>
            <w:shd w:val="clear" w:color="auto" w:fill="auto"/>
            <w:tcMar>
              <w:top w:w="12" w:type="dxa"/>
              <w:left w:w="12" w:type="dxa"/>
              <w:right w:w="12" w:type="dxa"/>
            </w:tcMar>
            <w:vAlign w:val="center"/>
          </w:tcPr>
          <w:p w14:paraId="4DB7A5E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实践教育</w:t>
            </w:r>
          </w:p>
        </w:tc>
        <w:tc>
          <w:tcPr>
            <w:tcW w:w="274" w:type="pct"/>
            <w:vMerge w:val="restart"/>
            <w:tcBorders>
              <w:tl2br w:val="nil"/>
              <w:tr2bl w:val="nil"/>
            </w:tcBorders>
            <w:shd w:val="clear" w:color="auto" w:fill="auto"/>
            <w:tcMar>
              <w:top w:w="12" w:type="dxa"/>
              <w:left w:w="12" w:type="dxa"/>
              <w:right w:w="12" w:type="dxa"/>
            </w:tcMar>
            <w:vAlign w:val="center"/>
          </w:tcPr>
          <w:p w14:paraId="7DC6652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公共</w:t>
            </w:r>
          </w:p>
          <w:p w14:paraId="318FD3F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基础</w:t>
            </w:r>
          </w:p>
          <w:p w14:paraId="49E3482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tc>
        <w:tc>
          <w:tcPr>
            <w:tcW w:w="645" w:type="pct"/>
            <w:tcBorders>
              <w:tl2br w:val="nil"/>
              <w:tr2bl w:val="nil"/>
            </w:tcBorders>
            <w:shd w:val="clear" w:color="auto" w:fill="auto"/>
            <w:tcMar>
              <w:top w:w="12" w:type="dxa"/>
              <w:left w:w="12" w:type="dxa"/>
              <w:right w:w="12" w:type="dxa"/>
            </w:tcMar>
            <w:vAlign w:val="center"/>
          </w:tcPr>
          <w:p w14:paraId="7219912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5321283001</w:t>
            </w:r>
          </w:p>
        </w:tc>
        <w:tc>
          <w:tcPr>
            <w:tcW w:w="1250" w:type="pct"/>
            <w:tcBorders>
              <w:tl2br w:val="nil"/>
              <w:tr2bl w:val="nil"/>
            </w:tcBorders>
            <w:shd w:val="clear" w:color="auto" w:fill="auto"/>
            <w:tcMar>
              <w:top w:w="12" w:type="dxa"/>
              <w:left w:w="12" w:type="dxa"/>
              <w:right w:w="12" w:type="dxa"/>
            </w:tcMar>
            <w:vAlign w:val="center"/>
          </w:tcPr>
          <w:p w14:paraId="34110261">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军事技能</w:t>
            </w:r>
          </w:p>
          <w:p w14:paraId="487AD46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Military Training</w:t>
            </w:r>
          </w:p>
        </w:tc>
        <w:tc>
          <w:tcPr>
            <w:tcW w:w="306" w:type="pct"/>
            <w:tcBorders>
              <w:tl2br w:val="nil"/>
              <w:tr2bl w:val="nil"/>
            </w:tcBorders>
            <w:shd w:val="clear" w:color="auto" w:fill="auto"/>
            <w:tcMar>
              <w:top w:w="12" w:type="dxa"/>
              <w:left w:w="12" w:type="dxa"/>
              <w:right w:w="12" w:type="dxa"/>
            </w:tcMar>
            <w:vAlign w:val="center"/>
          </w:tcPr>
          <w:p w14:paraId="4C42366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248" w:type="pct"/>
            <w:tcBorders>
              <w:tl2br w:val="nil"/>
              <w:tr2bl w:val="nil"/>
            </w:tcBorders>
            <w:shd w:val="clear" w:color="auto" w:fill="auto"/>
            <w:tcMar>
              <w:top w:w="12" w:type="dxa"/>
              <w:left w:w="12" w:type="dxa"/>
              <w:right w:w="12" w:type="dxa"/>
            </w:tcMar>
            <w:vAlign w:val="center"/>
          </w:tcPr>
          <w:p w14:paraId="1102627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90</w:t>
            </w:r>
          </w:p>
        </w:tc>
        <w:tc>
          <w:tcPr>
            <w:tcW w:w="285" w:type="pct"/>
            <w:tcBorders>
              <w:tl2br w:val="nil"/>
              <w:tr2bl w:val="nil"/>
            </w:tcBorders>
            <w:shd w:val="clear" w:color="auto" w:fill="auto"/>
            <w:tcMar>
              <w:top w:w="12" w:type="dxa"/>
              <w:left w:w="12" w:type="dxa"/>
              <w:right w:w="12" w:type="dxa"/>
            </w:tcMar>
            <w:vAlign w:val="center"/>
          </w:tcPr>
          <w:p w14:paraId="4F61D28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0</w:t>
            </w:r>
          </w:p>
        </w:tc>
        <w:tc>
          <w:tcPr>
            <w:tcW w:w="301" w:type="pct"/>
            <w:tcBorders>
              <w:tl2br w:val="nil"/>
              <w:tr2bl w:val="nil"/>
            </w:tcBorders>
            <w:shd w:val="clear" w:color="auto" w:fill="auto"/>
            <w:tcMar>
              <w:top w:w="12" w:type="dxa"/>
              <w:left w:w="12" w:type="dxa"/>
              <w:right w:w="12" w:type="dxa"/>
            </w:tcMar>
            <w:vAlign w:val="center"/>
          </w:tcPr>
          <w:p w14:paraId="79C1E79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90</w:t>
            </w:r>
          </w:p>
        </w:tc>
        <w:tc>
          <w:tcPr>
            <w:tcW w:w="295" w:type="pct"/>
            <w:tcBorders>
              <w:tl2br w:val="nil"/>
              <w:tr2bl w:val="nil"/>
            </w:tcBorders>
            <w:shd w:val="clear" w:color="auto" w:fill="auto"/>
            <w:tcMar>
              <w:top w:w="12" w:type="dxa"/>
              <w:left w:w="12" w:type="dxa"/>
              <w:right w:w="12" w:type="dxa"/>
            </w:tcMar>
            <w:vAlign w:val="center"/>
          </w:tcPr>
          <w:p w14:paraId="5080CE8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6F4ABEA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3</w:t>
            </w:r>
          </w:p>
        </w:tc>
        <w:tc>
          <w:tcPr>
            <w:tcW w:w="811" w:type="pct"/>
            <w:tcBorders>
              <w:tl2br w:val="nil"/>
              <w:tr2bl w:val="nil"/>
            </w:tcBorders>
            <w:shd w:val="clear" w:color="auto" w:fill="auto"/>
            <w:tcMar>
              <w:top w:w="12" w:type="dxa"/>
              <w:left w:w="12" w:type="dxa"/>
              <w:right w:w="12" w:type="dxa"/>
            </w:tcMar>
            <w:vAlign w:val="center"/>
          </w:tcPr>
          <w:p w14:paraId="5460008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2162EBC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08F1CA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4495B69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31E40C6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宋体"/>
                <w:bCs/>
                <w:sz w:val="17"/>
                <w:szCs w:val="17"/>
                <w:highlight w:val="none"/>
              </w:rPr>
              <w:t>3221484001</w:t>
            </w:r>
          </w:p>
        </w:tc>
        <w:tc>
          <w:tcPr>
            <w:tcW w:w="1250" w:type="pct"/>
            <w:tcBorders>
              <w:tl2br w:val="nil"/>
              <w:tr2bl w:val="nil"/>
            </w:tcBorders>
            <w:shd w:val="clear" w:color="auto" w:fill="auto"/>
            <w:tcMar>
              <w:top w:w="12" w:type="dxa"/>
              <w:left w:w="12" w:type="dxa"/>
              <w:right w:w="12" w:type="dxa"/>
            </w:tcMar>
            <w:vAlign w:val="center"/>
          </w:tcPr>
          <w:p w14:paraId="29213BE8">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劳动教育</w:t>
            </w:r>
          </w:p>
          <w:p w14:paraId="20A9FA6C">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Labor Education</w:t>
            </w:r>
          </w:p>
        </w:tc>
        <w:tc>
          <w:tcPr>
            <w:tcW w:w="306" w:type="pct"/>
            <w:tcBorders>
              <w:tl2br w:val="nil"/>
              <w:tr2bl w:val="nil"/>
            </w:tcBorders>
            <w:shd w:val="clear" w:color="auto" w:fill="auto"/>
            <w:tcMar>
              <w:top w:w="12" w:type="dxa"/>
              <w:left w:w="12" w:type="dxa"/>
              <w:right w:w="12" w:type="dxa"/>
            </w:tcMar>
            <w:vAlign w:val="center"/>
          </w:tcPr>
          <w:p w14:paraId="772ED74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w:t>
            </w:r>
          </w:p>
        </w:tc>
        <w:tc>
          <w:tcPr>
            <w:tcW w:w="248" w:type="pct"/>
            <w:tcBorders>
              <w:tl2br w:val="nil"/>
              <w:tr2bl w:val="nil"/>
            </w:tcBorders>
            <w:shd w:val="clear" w:color="auto" w:fill="auto"/>
            <w:tcMar>
              <w:top w:w="12" w:type="dxa"/>
              <w:left w:w="12" w:type="dxa"/>
              <w:right w:w="12" w:type="dxa"/>
            </w:tcMar>
            <w:vAlign w:val="center"/>
          </w:tcPr>
          <w:p w14:paraId="0BB3F0B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16</w:t>
            </w:r>
          </w:p>
        </w:tc>
        <w:tc>
          <w:tcPr>
            <w:tcW w:w="285" w:type="pct"/>
            <w:tcBorders>
              <w:tl2br w:val="nil"/>
              <w:tr2bl w:val="nil"/>
            </w:tcBorders>
            <w:shd w:val="clear" w:color="auto" w:fill="auto"/>
            <w:tcMar>
              <w:top w:w="12" w:type="dxa"/>
              <w:left w:w="12" w:type="dxa"/>
              <w:right w:w="12" w:type="dxa"/>
            </w:tcMar>
            <w:vAlign w:val="center"/>
          </w:tcPr>
          <w:p w14:paraId="1135B80E">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8</w:t>
            </w:r>
          </w:p>
        </w:tc>
        <w:tc>
          <w:tcPr>
            <w:tcW w:w="301" w:type="pct"/>
            <w:tcBorders>
              <w:tl2br w:val="nil"/>
              <w:tr2bl w:val="nil"/>
            </w:tcBorders>
            <w:shd w:val="clear" w:color="auto" w:fill="auto"/>
            <w:tcMar>
              <w:top w:w="12" w:type="dxa"/>
              <w:left w:w="12" w:type="dxa"/>
              <w:right w:w="12" w:type="dxa"/>
            </w:tcMar>
            <w:vAlign w:val="center"/>
          </w:tcPr>
          <w:p w14:paraId="3940703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8</w:t>
            </w:r>
          </w:p>
        </w:tc>
        <w:tc>
          <w:tcPr>
            <w:tcW w:w="295" w:type="pct"/>
            <w:tcBorders>
              <w:tl2br w:val="nil"/>
              <w:tr2bl w:val="nil"/>
            </w:tcBorders>
            <w:shd w:val="clear" w:color="auto" w:fill="auto"/>
            <w:tcMar>
              <w:top w:w="12" w:type="dxa"/>
              <w:left w:w="12" w:type="dxa"/>
              <w:right w:w="12" w:type="dxa"/>
            </w:tcMar>
            <w:vAlign w:val="center"/>
          </w:tcPr>
          <w:p w14:paraId="47254B8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14DB2F98">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eastAsia" w:ascii="Times New Roman" w:hAnsi="Times New Roman" w:cs="Times New Roman"/>
                <w:bCs/>
                <w:kern w:val="0"/>
                <w:sz w:val="17"/>
                <w:szCs w:val="17"/>
                <w:highlight w:val="none"/>
                <w:lang w:val="en-US" w:eastAsia="zh-CN"/>
              </w:rPr>
              <w:t>2</w:t>
            </w:r>
          </w:p>
        </w:tc>
        <w:tc>
          <w:tcPr>
            <w:tcW w:w="811" w:type="pct"/>
            <w:tcBorders>
              <w:tl2br w:val="nil"/>
              <w:tr2bl w:val="nil"/>
            </w:tcBorders>
            <w:shd w:val="clear" w:color="auto" w:fill="auto"/>
            <w:tcMar>
              <w:top w:w="12" w:type="dxa"/>
              <w:left w:w="12" w:type="dxa"/>
              <w:right w:w="12" w:type="dxa"/>
            </w:tcMar>
            <w:vAlign w:val="center"/>
          </w:tcPr>
          <w:p w14:paraId="504525F0">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r>
      <w:tr w14:paraId="6E4B14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02B6E45B">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restart"/>
            <w:tcBorders>
              <w:tl2br w:val="nil"/>
              <w:tr2bl w:val="nil"/>
            </w:tcBorders>
            <w:shd w:val="clear" w:color="auto" w:fill="auto"/>
            <w:tcMar>
              <w:top w:w="12" w:type="dxa"/>
              <w:left w:w="12" w:type="dxa"/>
              <w:right w:w="12" w:type="dxa"/>
            </w:tcMar>
            <w:vAlign w:val="center"/>
          </w:tcPr>
          <w:p w14:paraId="5EEAA3CD">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专业</w:t>
            </w:r>
          </w:p>
          <w:p w14:paraId="7596A05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必修</w:t>
            </w:r>
          </w:p>
        </w:tc>
        <w:tc>
          <w:tcPr>
            <w:tcW w:w="645" w:type="pct"/>
            <w:tcBorders>
              <w:tl2br w:val="nil"/>
              <w:tr2bl w:val="nil"/>
            </w:tcBorders>
            <w:shd w:val="clear" w:color="auto" w:fill="auto"/>
            <w:tcMar>
              <w:top w:w="12" w:type="dxa"/>
              <w:left w:w="12" w:type="dxa"/>
              <w:right w:w="12" w:type="dxa"/>
            </w:tcMar>
            <w:vAlign w:val="center"/>
          </w:tcPr>
          <w:p w14:paraId="2BA5C6D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1224546007</w:t>
            </w:r>
          </w:p>
        </w:tc>
        <w:tc>
          <w:tcPr>
            <w:tcW w:w="1250" w:type="pct"/>
            <w:tcBorders>
              <w:tl2br w:val="nil"/>
              <w:tr2bl w:val="nil"/>
            </w:tcBorders>
            <w:shd w:val="clear" w:color="auto" w:fill="auto"/>
            <w:tcMar>
              <w:top w:w="12" w:type="dxa"/>
              <w:left w:w="12" w:type="dxa"/>
              <w:right w:w="12" w:type="dxa"/>
            </w:tcMar>
            <w:vAlign w:val="center"/>
          </w:tcPr>
          <w:p w14:paraId="1DDF5B47">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电工电子实训</w:t>
            </w:r>
          </w:p>
          <w:p w14:paraId="5FF401F9">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Practical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 xml:space="preserve">raining of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lectricians</w:t>
            </w:r>
          </w:p>
        </w:tc>
        <w:tc>
          <w:tcPr>
            <w:tcW w:w="306" w:type="pct"/>
            <w:tcBorders>
              <w:tl2br w:val="nil"/>
              <w:tr2bl w:val="nil"/>
            </w:tcBorders>
            <w:shd w:val="clear" w:color="auto" w:fill="auto"/>
            <w:tcMar>
              <w:top w:w="12" w:type="dxa"/>
              <w:left w:w="12" w:type="dxa"/>
              <w:right w:w="12" w:type="dxa"/>
            </w:tcMar>
            <w:vAlign w:val="center"/>
          </w:tcPr>
          <w:p w14:paraId="0063FD0D">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248" w:type="pct"/>
            <w:tcBorders>
              <w:tl2br w:val="nil"/>
              <w:tr2bl w:val="nil"/>
            </w:tcBorders>
            <w:shd w:val="clear" w:color="auto" w:fill="auto"/>
            <w:tcMar>
              <w:top w:w="12" w:type="dxa"/>
              <w:left w:w="12" w:type="dxa"/>
              <w:right w:w="12" w:type="dxa"/>
            </w:tcMar>
            <w:vAlign w:val="center"/>
          </w:tcPr>
          <w:p w14:paraId="7FDCD2F8">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85" w:type="pct"/>
            <w:tcBorders>
              <w:tl2br w:val="nil"/>
              <w:tr2bl w:val="nil"/>
            </w:tcBorders>
            <w:shd w:val="clear" w:color="auto" w:fill="auto"/>
            <w:tcMar>
              <w:top w:w="12" w:type="dxa"/>
              <w:left w:w="12" w:type="dxa"/>
              <w:right w:w="12" w:type="dxa"/>
            </w:tcMar>
            <w:vAlign w:val="center"/>
          </w:tcPr>
          <w:p w14:paraId="073722F6">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01" w:type="pct"/>
            <w:tcBorders>
              <w:tl2br w:val="nil"/>
              <w:tr2bl w:val="nil"/>
            </w:tcBorders>
            <w:shd w:val="clear" w:color="auto" w:fill="auto"/>
            <w:tcMar>
              <w:top w:w="12" w:type="dxa"/>
              <w:left w:w="12" w:type="dxa"/>
              <w:right w:w="12" w:type="dxa"/>
            </w:tcMar>
            <w:vAlign w:val="center"/>
          </w:tcPr>
          <w:p w14:paraId="3935DE8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95" w:type="pct"/>
            <w:tcBorders>
              <w:tl2br w:val="nil"/>
              <w:tr2bl w:val="nil"/>
            </w:tcBorders>
            <w:shd w:val="clear" w:color="auto" w:fill="auto"/>
            <w:tcMar>
              <w:top w:w="12" w:type="dxa"/>
              <w:left w:w="12" w:type="dxa"/>
              <w:right w:w="12" w:type="dxa"/>
            </w:tcMar>
            <w:vAlign w:val="center"/>
          </w:tcPr>
          <w:p w14:paraId="36A0E0AE">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tcMar>
              <w:top w:w="12" w:type="dxa"/>
              <w:left w:w="12" w:type="dxa"/>
              <w:right w:w="12" w:type="dxa"/>
            </w:tcMar>
            <w:vAlign w:val="center"/>
          </w:tcPr>
          <w:p w14:paraId="5368A87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2</w:t>
            </w:r>
          </w:p>
        </w:tc>
        <w:tc>
          <w:tcPr>
            <w:tcW w:w="811" w:type="pct"/>
            <w:tcBorders>
              <w:tl2br w:val="nil"/>
              <w:tr2bl w:val="nil"/>
            </w:tcBorders>
            <w:shd w:val="clear" w:color="auto" w:fill="auto"/>
            <w:tcMar>
              <w:top w:w="12" w:type="dxa"/>
              <w:left w:w="12" w:type="dxa"/>
              <w:right w:w="12" w:type="dxa"/>
            </w:tcMar>
            <w:vAlign w:val="center"/>
          </w:tcPr>
          <w:p w14:paraId="668851D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550C747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3D29E27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20108C4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80AA695">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1224546008</w:t>
            </w:r>
          </w:p>
        </w:tc>
        <w:tc>
          <w:tcPr>
            <w:tcW w:w="1250" w:type="pct"/>
            <w:tcBorders>
              <w:tl2br w:val="nil"/>
              <w:tr2bl w:val="nil"/>
            </w:tcBorders>
            <w:shd w:val="clear" w:color="auto" w:fill="auto"/>
            <w:tcMar>
              <w:top w:w="12" w:type="dxa"/>
              <w:left w:w="12" w:type="dxa"/>
              <w:right w:w="12" w:type="dxa"/>
            </w:tcMar>
            <w:vAlign w:val="center"/>
          </w:tcPr>
          <w:p w14:paraId="759CDB83">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汽车拆装实训</w:t>
            </w:r>
          </w:p>
          <w:p w14:paraId="308DE065">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Car </w:t>
            </w:r>
            <w:r>
              <w:rPr>
                <w:rFonts w:hint="eastAsia" w:ascii="Times New Roman" w:hAnsi="Times New Roman" w:eastAsia="宋体" w:cs="Times New Roman"/>
                <w:bCs/>
                <w:kern w:val="0"/>
                <w:sz w:val="17"/>
                <w:szCs w:val="17"/>
                <w:lang w:val="en-US" w:eastAsia="zh-CN" w:bidi="ar"/>
              </w:rPr>
              <w:t>D</w:t>
            </w:r>
            <w:r>
              <w:rPr>
                <w:rFonts w:hint="default" w:ascii="Times New Roman" w:hAnsi="Times New Roman" w:eastAsia="宋体" w:cs="Times New Roman"/>
                <w:bCs/>
                <w:kern w:val="0"/>
                <w:sz w:val="17"/>
                <w:szCs w:val="17"/>
                <w:lang w:val="en-US" w:eastAsia="zh-CN" w:bidi="ar"/>
              </w:rPr>
              <w:t xml:space="preserve">isassembly and </w:t>
            </w:r>
            <w:r>
              <w:rPr>
                <w:rFonts w:hint="eastAsia" w:ascii="Times New Roman" w:hAnsi="Times New Roman" w:eastAsia="宋体" w:cs="Times New Roman"/>
                <w:bCs/>
                <w:kern w:val="0"/>
                <w:sz w:val="17"/>
                <w:szCs w:val="17"/>
                <w:lang w:val="en-US" w:eastAsia="zh-CN" w:bidi="ar"/>
              </w:rPr>
              <w:t>I</w:t>
            </w:r>
            <w:r>
              <w:rPr>
                <w:rFonts w:hint="default" w:ascii="Times New Roman" w:hAnsi="Times New Roman" w:eastAsia="宋体" w:cs="Times New Roman"/>
                <w:bCs/>
                <w:kern w:val="0"/>
                <w:sz w:val="17"/>
                <w:szCs w:val="17"/>
                <w:lang w:val="en-US" w:eastAsia="zh-CN" w:bidi="ar"/>
              </w:rPr>
              <w:t xml:space="preserve">nstallation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raining</w:t>
            </w:r>
          </w:p>
        </w:tc>
        <w:tc>
          <w:tcPr>
            <w:tcW w:w="306" w:type="pct"/>
            <w:tcBorders>
              <w:tl2br w:val="nil"/>
              <w:tr2bl w:val="nil"/>
            </w:tcBorders>
            <w:shd w:val="clear" w:color="auto" w:fill="auto"/>
            <w:noWrap/>
            <w:tcMar>
              <w:top w:w="12" w:type="dxa"/>
              <w:left w:w="12" w:type="dxa"/>
              <w:right w:w="12" w:type="dxa"/>
            </w:tcMar>
            <w:vAlign w:val="center"/>
          </w:tcPr>
          <w:p w14:paraId="255CE8B6">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1</w:t>
            </w:r>
          </w:p>
        </w:tc>
        <w:tc>
          <w:tcPr>
            <w:tcW w:w="248" w:type="pct"/>
            <w:tcBorders>
              <w:tl2br w:val="nil"/>
              <w:tr2bl w:val="nil"/>
            </w:tcBorders>
            <w:shd w:val="clear" w:color="auto" w:fill="auto"/>
            <w:tcMar>
              <w:top w:w="12" w:type="dxa"/>
              <w:left w:w="12" w:type="dxa"/>
              <w:right w:w="12" w:type="dxa"/>
            </w:tcMar>
            <w:vAlign w:val="center"/>
          </w:tcPr>
          <w:p w14:paraId="306DA34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85" w:type="pct"/>
            <w:tcBorders>
              <w:tl2br w:val="nil"/>
              <w:tr2bl w:val="nil"/>
            </w:tcBorders>
            <w:shd w:val="clear" w:color="auto" w:fill="auto"/>
            <w:noWrap/>
            <w:tcMar>
              <w:top w:w="12" w:type="dxa"/>
              <w:left w:w="12" w:type="dxa"/>
              <w:right w:w="12" w:type="dxa"/>
            </w:tcMar>
            <w:vAlign w:val="center"/>
          </w:tcPr>
          <w:p w14:paraId="09CDD19F">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01" w:type="pct"/>
            <w:tcBorders>
              <w:tl2br w:val="nil"/>
              <w:tr2bl w:val="nil"/>
            </w:tcBorders>
            <w:shd w:val="clear" w:color="auto" w:fill="auto"/>
            <w:tcMar>
              <w:top w:w="12" w:type="dxa"/>
              <w:left w:w="12" w:type="dxa"/>
              <w:right w:w="12" w:type="dxa"/>
            </w:tcMar>
            <w:vAlign w:val="center"/>
          </w:tcPr>
          <w:p w14:paraId="4F219E0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30</w:t>
            </w:r>
          </w:p>
        </w:tc>
        <w:tc>
          <w:tcPr>
            <w:tcW w:w="295" w:type="pct"/>
            <w:tcBorders>
              <w:tl2br w:val="nil"/>
              <w:tr2bl w:val="nil"/>
            </w:tcBorders>
            <w:shd w:val="clear" w:color="auto" w:fill="auto"/>
            <w:noWrap/>
            <w:tcMar>
              <w:top w:w="12" w:type="dxa"/>
              <w:left w:w="12" w:type="dxa"/>
              <w:right w:w="12" w:type="dxa"/>
            </w:tcMar>
            <w:vAlign w:val="center"/>
          </w:tcPr>
          <w:p w14:paraId="6A39CFB7">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noWrap/>
            <w:tcMar>
              <w:top w:w="12" w:type="dxa"/>
              <w:left w:w="12" w:type="dxa"/>
              <w:right w:w="12" w:type="dxa"/>
            </w:tcMar>
            <w:vAlign w:val="center"/>
          </w:tcPr>
          <w:p w14:paraId="66383E6F">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3</w:t>
            </w:r>
          </w:p>
        </w:tc>
        <w:tc>
          <w:tcPr>
            <w:tcW w:w="811" w:type="pct"/>
            <w:tcBorders>
              <w:tl2br w:val="nil"/>
              <w:tr2bl w:val="nil"/>
            </w:tcBorders>
            <w:shd w:val="clear" w:color="auto" w:fill="auto"/>
            <w:noWrap/>
            <w:tcMar>
              <w:top w:w="12" w:type="dxa"/>
              <w:left w:w="12" w:type="dxa"/>
              <w:right w:w="12" w:type="dxa"/>
            </w:tcMar>
            <w:vAlign w:val="center"/>
          </w:tcPr>
          <w:p w14:paraId="6AA5399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2539029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2A4181E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6B8F13F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4065ACAB">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rPr>
              <w:t>1224546009</w:t>
            </w:r>
          </w:p>
        </w:tc>
        <w:tc>
          <w:tcPr>
            <w:tcW w:w="1250" w:type="pct"/>
            <w:tcBorders>
              <w:tl2br w:val="nil"/>
              <w:tr2bl w:val="nil"/>
            </w:tcBorders>
            <w:shd w:val="clear" w:color="auto" w:fill="auto"/>
            <w:tcMar>
              <w:top w:w="12" w:type="dxa"/>
              <w:left w:w="12" w:type="dxa"/>
              <w:right w:w="12" w:type="dxa"/>
            </w:tcMar>
            <w:vAlign w:val="center"/>
          </w:tcPr>
          <w:p w14:paraId="2093CFC1">
            <w:pPr>
              <w:adjustRightInd w:val="0"/>
              <w:spacing w:line="200" w:lineRule="exact"/>
              <w:jc w:val="left"/>
              <w:rPr>
                <w:rFonts w:hint="eastAsia" w:ascii="Times New Roman" w:hAnsi="Times New Roman" w:eastAsia="宋体" w:cs="Times New Roman"/>
                <w:bCs/>
                <w:kern w:val="0"/>
                <w:sz w:val="17"/>
                <w:szCs w:val="17"/>
                <w:lang w:val="en-US" w:eastAsia="zh-CN" w:bidi="ar"/>
              </w:rPr>
            </w:pPr>
            <w:r>
              <w:rPr>
                <w:rFonts w:hint="eastAsia" w:ascii="Times New Roman" w:hAnsi="Times New Roman" w:eastAsia="宋体" w:cs="Times New Roman"/>
                <w:bCs/>
                <w:kern w:val="0"/>
                <w:sz w:val="17"/>
                <w:szCs w:val="17"/>
                <w:lang w:val="en-US" w:eastAsia="zh-CN" w:bidi="ar"/>
              </w:rPr>
              <w:t>新能源汽车维修实训</w:t>
            </w:r>
          </w:p>
          <w:p w14:paraId="06DE8A60">
            <w:pPr>
              <w:adjustRightInd w:val="0"/>
              <w:spacing w:line="200" w:lineRule="exact"/>
              <w:jc w:val="left"/>
              <w:rPr>
                <w:rFonts w:hint="default" w:ascii="Times New Roman" w:hAnsi="Times New Roman" w:eastAsia="宋体" w:cs="Times New Roman"/>
                <w:bCs/>
                <w:kern w:val="0"/>
                <w:sz w:val="17"/>
                <w:szCs w:val="17"/>
                <w:lang w:val="en-US" w:eastAsia="zh-CN" w:bidi="ar"/>
              </w:rPr>
            </w:pPr>
            <w:r>
              <w:rPr>
                <w:rFonts w:hint="default" w:ascii="Times New Roman" w:hAnsi="Times New Roman" w:eastAsia="宋体" w:cs="Times New Roman"/>
                <w:bCs/>
                <w:kern w:val="0"/>
                <w:sz w:val="17"/>
                <w:szCs w:val="17"/>
                <w:lang w:val="en-US" w:eastAsia="zh-CN" w:bidi="ar"/>
              </w:rPr>
              <w:t xml:space="preserve">New </w:t>
            </w:r>
            <w:r>
              <w:rPr>
                <w:rFonts w:hint="eastAsia" w:ascii="Times New Roman" w:hAnsi="Times New Roman" w:eastAsia="宋体" w:cs="Times New Roman"/>
                <w:bCs/>
                <w:kern w:val="0"/>
                <w:sz w:val="17"/>
                <w:szCs w:val="17"/>
                <w:lang w:val="en-US" w:eastAsia="zh-CN" w:bidi="ar"/>
              </w:rPr>
              <w:t>E</w:t>
            </w:r>
            <w:r>
              <w:rPr>
                <w:rFonts w:hint="default" w:ascii="Times New Roman" w:hAnsi="Times New Roman" w:eastAsia="宋体" w:cs="Times New Roman"/>
                <w:bCs/>
                <w:kern w:val="0"/>
                <w:sz w:val="17"/>
                <w:szCs w:val="17"/>
                <w:lang w:val="en-US" w:eastAsia="zh-CN" w:bidi="ar"/>
              </w:rPr>
              <w:t xml:space="preserve">nergy </w:t>
            </w:r>
            <w:r>
              <w:rPr>
                <w:rFonts w:hint="eastAsia" w:ascii="Times New Roman" w:hAnsi="Times New Roman" w:eastAsia="宋体" w:cs="Times New Roman"/>
                <w:bCs/>
                <w:kern w:val="0"/>
                <w:sz w:val="17"/>
                <w:szCs w:val="17"/>
                <w:lang w:val="en-US" w:eastAsia="zh-CN" w:bidi="ar"/>
              </w:rPr>
              <w:t>V</w:t>
            </w:r>
            <w:r>
              <w:rPr>
                <w:rFonts w:hint="default" w:ascii="Times New Roman" w:hAnsi="Times New Roman" w:eastAsia="宋体" w:cs="Times New Roman"/>
                <w:bCs/>
                <w:kern w:val="0"/>
                <w:sz w:val="17"/>
                <w:szCs w:val="17"/>
                <w:lang w:val="en-US" w:eastAsia="zh-CN" w:bidi="ar"/>
              </w:rPr>
              <w:t xml:space="preserve">ehicle </w:t>
            </w:r>
            <w:r>
              <w:rPr>
                <w:rFonts w:hint="eastAsia" w:ascii="Times New Roman" w:hAnsi="Times New Roman" w:eastAsia="宋体" w:cs="Times New Roman"/>
                <w:bCs/>
                <w:kern w:val="0"/>
                <w:sz w:val="17"/>
                <w:szCs w:val="17"/>
                <w:lang w:val="en-US" w:eastAsia="zh-CN" w:bidi="ar"/>
              </w:rPr>
              <w:t>M</w:t>
            </w:r>
            <w:r>
              <w:rPr>
                <w:rFonts w:hint="default" w:ascii="Times New Roman" w:hAnsi="Times New Roman" w:eastAsia="宋体" w:cs="Times New Roman"/>
                <w:bCs/>
                <w:kern w:val="0"/>
                <w:sz w:val="17"/>
                <w:szCs w:val="17"/>
                <w:lang w:val="en-US" w:eastAsia="zh-CN" w:bidi="ar"/>
              </w:rPr>
              <w:t xml:space="preserve">aintenance </w:t>
            </w:r>
            <w:r>
              <w:rPr>
                <w:rFonts w:hint="eastAsia" w:ascii="Times New Roman" w:hAnsi="Times New Roman" w:eastAsia="宋体" w:cs="Times New Roman"/>
                <w:bCs/>
                <w:kern w:val="0"/>
                <w:sz w:val="17"/>
                <w:szCs w:val="17"/>
                <w:lang w:val="en-US" w:eastAsia="zh-CN" w:bidi="ar"/>
              </w:rPr>
              <w:t>T</w:t>
            </w:r>
            <w:r>
              <w:rPr>
                <w:rFonts w:hint="default" w:ascii="Times New Roman" w:hAnsi="Times New Roman" w:eastAsia="宋体" w:cs="Times New Roman"/>
                <w:bCs/>
                <w:kern w:val="0"/>
                <w:sz w:val="17"/>
                <w:szCs w:val="17"/>
                <w:lang w:val="en-US" w:eastAsia="zh-CN" w:bidi="ar"/>
              </w:rPr>
              <w:t>raining</w:t>
            </w:r>
          </w:p>
        </w:tc>
        <w:tc>
          <w:tcPr>
            <w:tcW w:w="306" w:type="pct"/>
            <w:tcBorders>
              <w:tl2br w:val="nil"/>
              <w:tr2bl w:val="nil"/>
            </w:tcBorders>
            <w:shd w:val="clear" w:color="auto" w:fill="auto"/>
            <w:noWrap/>
            <w:tcMar>
              <w:top w:w="12" w:type="dxa"/>
              <w:left w:w="12" w:type="dxa"/>
              <w:right w:w="12" w:type="dxa"/>
            </w:tcMar>
            <w:vAlign w:val="center"/>
          </w:tcPr>
          <w:p w14:paraId="0C340554">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2</w:t>
            </w:r>
          </w:p>
        </w:tc>
        <w:tc>
          <w:tcPr>
            <w:tcW w:w="248" w:type="pct"/>
            <w:tcBorders>
              <w:tl2br w:val="nil"/>
              <w:tr2bl w:val="nil"/>
            </w:tcBorders>
            <w:shd w:val="clear" w:color="auto" w:fill="auto"/>
            <w:tcMar>
              <w:top w:w="12" w:type="dxa"/>
              <w:left w:w="12" w:type="dxa"/>
              <w:right w:w="12" w:type="dxa"/>
            </w:tcMar>
            <w:vAlign w:val="center"/>
          </w:tcPr>
          <w:p w14:paraId="7FBDA6C1">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60</w:t>
            </w:r>
          </w:p>
        </w:tc>
        <w:tc>
          <w:tcPr>
            <w:tcW w:w="285" w:type="pct"/>
            <w:tcBorders>
              <w:tl2br w:val="nil"/>
              <w:tr2bl w:val="nil"/>
            </w:tcBorders>
            <w:shd w:val="clear" w:color="auto" w:fill="auto"/>
            <w:noWrap/>
            <w:tcMar>
              <w:top w:w="12" w:type="dxa"/>
              <w:left w:w="12" w:type="dxa"/>
              <w:right w:w="12" w:type="dxa"/>
            </w:tcMar>
            <w:vAlign w:val="center"/>
          </w:tcPr>
          <w:p w14:paraId="17C599C2">
            <w:pPr>
              <w:keepNext w:val="0"/>
              <w:keepLines w:val="0"/>
              <w:pageBreakBefore w:val="0"/>
              <w:wordWrap/>
              <w:topLinePunct w:val="0"/>
              <w:bidi w:val="0"/>
              <w:spacing w:line="240" w:lineRule="auto"/>
              <w:ind w:left="0" w:right="0"/>
              <w:jc w:val="center"/>
              <w:rPr>
                <w:rFonts w:hint="default" w:ascii="Times New Roman" w:hAnsi="Times New Roman" w:cs="Times New Roman"/>
                <w:bCs/>
                <w:kern w:val="0"/>
                <w:sz w:val="17"/>
                <w:szCs w:val="17"/>
                <w:highlight w:val="none"/>
                <w:lang w:val="en-US" w:eastAsia="zh-CN"/>
              </w:rPr>
            </w:pPr>
          </w:p>
        </w:tc>
        <w:tc>
          <w:tcPr>
            <w:tcW w:w="301" w:type="pct"/>
            <w:tcBorders>
              <w:tl2br w:val="nil"/>
              <w:tr2bl w:val="nil"/>
            </w:tcBorders>
            <w:shd w:val="clear" w:color="auto" w:fill="auto"/>
            <w:tcMar>
              <w:top w:w="12" w:type="dxa"/>
              <w:left w:w="12" w:type="dxa"/>
              <w:right w:w="12" w:type="dxa"/>
            </w:tcMar>
            <w:vAlign w:val="center"/>
          </w:tcPr>
          <w:p w14:paraId="23C214D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eastAsia" w:ascii="Times New Roman" w:hAnsi="Times New Roman" w:eastAsia="宋体" w:cs="Times New Roman"/>
                <w:color w:val="auto"/>
                <w:sz w:val="18"/>
                <w:szCs w:val="18"/>
                <w:highlight w:val="none"/>
                <w:lang w:val="en-US" w:eastAsia="zh-CN"/>
              </w:rPr>
              <w:t>60</w:t>
            </w:r>
          </w:p>
        </w:tc>
        <w:tc>
          <w:tcPr>
            <w:tcW w:w="295" w:type="pct"/>
            <w:tcBorders>
              <w:tl2br w:val="nil"/>
              <w:tr2bl w:val="nil"/>
            </w:tcBorders>
            <w:shd w:val="clear" w:color="auto" w:fill="auto"/>
            <w:noWrap/>
            <w:tcMar>
              <w:top w:w="12" w:type="dxa"/>
              <w:left w:w="12" w:type="dxa"/>
              <w:right w:w="12" w:type="dxa"/>
            </w:tcMar>
            <w:vAlign w:val="center"/>
          </w:tcPr>
          <w:p w14:paraId="2D5381E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hint="default" w:ascii="Times New Roman" w:hAnsi="Times New Roman" w:cs="Times New Roman"/>
                <w:bCs/>
                <w:kern w:val="0"/>
                <w:sz w:val="17"/>
                <w:szCs w:val="17"/>
                <w:highlight w:val="none"/>
                <w:lang w:val="en-US" w:eastAsia="zh-CN"/>
              </w:rPr>
              <w:t>考查</w:t>
            </w:r>
          </w:p>
        </w:tc>
        <w:tc>
          <w:tcPr>
            <w:tcW w:w="327" w:type="pct"/>
            <w:tcBorders>
              <w:tl2br w:val="nil"/>
              <w:tr2bl w:val="nil"/>
            </w:tcBorders>
            <w:shd w:val="clear" w:color="auto" w:fill="auto"/>
            <w:noWrap/>
            <w:tcMar>
              <w:top w:w="12" w:type="dxa"/>
              <w:left w:w="12" w:type="dxa"/>
              <w:right w:w="12" w:type="dxa"/>
            </w:tcMar>
            <w:vAlign w:val="center"/>
          </w:tcPr>
          <w:p w14:paraId="450BB623">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r>
              <w:rPr>
                <w:rFonts w:ascii="Times New Roman" w:hAnsi="Times New Roman" w:eastAsia="宋体" w:cs="Times New Roman"/>
                <w:color w:val="auto"/>
                <w:sz w:val="18"/>
                <w:szCs w:val="18"/>
                <w:highlight w:val="none"/>
              </w:rPr>
              <w:t>4</w:t>
            </w:r>
          </w:p>
        </w:tc>
        <w:tc>
          <w:tcPr>
            <w:tcW w:w="811" w:type="pct"/>
            <w:tcBorders>
              <w:tl2br w:val="nil"/>
              <w:tr2bl w:val="nil"/>
            </w:tcBorders>
            <w:shd w:val="clear" w:color="auto" w:fill="auto"/>
            <w:noWrap/>
            <w:tcMar>
              <w:top w:w="12" w:type="dxa"/>
              <w:left w:w="12" w:type="dxa"/>
              <w:right w:w="12" w:type="dxa"/>
            </w:tcMar>
            <w:vAlign w:val="center"/>
          </w:tcPr>
          <w:p w14:paraId="14010DFC">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Cs/>
                <w:kern w:val="0"/>
                <w:sz w:val="17"/>
                <w:szCs w:val="17"/>
                <w:highlight w:val="none"/>
                <w:lang w:val="en-US" w:eastAsia="zh-CN"/>
              </w:rPr>
            </w:pPr>
          </w:p>
        </w:tc>
      </w:tr>
      <w:tr w14:paraId="414C9F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4C34D577">
            <w:pPr>
              <w:keepNext w:val="0"/>
              <w:keepLines w:val="0"/>
              <w:pageBreakBefore w:val="0"/>
              <w:wordWrap/>
              <w:topLinePunct w:val="0"/>
              <w:bidi w:val="0"/>
              <w:adjustRightInd w:val="0"/>
              <w:spacing w:line="240" w:lineRule="auto"/>
              <w:ind w:left="0" w:leftChars="0" w:right="0" w:firstLine="0" w:firstLineChars="0"/>
              <w:jc w:val="center"/>
              <w:rPr>
                <w:rFonts w:hint="default" w:ascii="Times New Roman" w:hAnsi="Times New Roman" w:cs="Times New Roman"/>
                <w:bCs/>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73ACAD60">
            <w:pPr>
              <w:keepNext w:val="0"/>
              <w:keepLines w:val="0"/>
              <w:pageBreakBefore w:val="0"/>
              <w:wordWrap/>
              <w:topLinePunct w:val="0"/>
              <w:bidi w:val="0"/>
              <w:adjustRightInd w:val="0"/>
              <w:spacing w:line="240" w:lineRule="auto"/>
              <w:ind w:left="0" w:leftChars="0" w:right="0" w:firstLine="0" w:firstLineChars="0"/>
              <w:jc w:val="center"/>
              <w:rPr>
                <w:rFonts w:hint="default" w:ascii="Times New Roman" w:hAnsi="Times New Roman" w:cs="Times New Roman"/>
                <w:bCs/>
                <w:kern w:val="0"/>
                <w:sz w:val="17"/>
                <w:szCs w:val="17"/>
                <w:highlight w:val="none"/>
                <w:lang w:val="en-US" w:eastAsia="zh-CN"/>
              </w:rPr>
            </w:pPr>
          </w:p>
        </w:tc>
        <w:tc>
          <w:tcPr>
            <w:tcW w:w="645" w:type="pct"/>
            <w:tcBorders>
              <w:tl2br w:val="nil"/>
              <w:tr2bl w:val="nil"/>
            </w:tcBorders>
            <w:shd w:val="clear" w:color="auto" w:fill="auto"/>
            <w:tcMar>
              <w:top w:w="12" w:type="dxa"/>
              <w:left w:w="12" w:type="dxa"/>
              <w:right w:w="12" w:type="dxa"/>
            </w:tcMar>
            <w:vAlign w:val="center"/>
          </w:tcPr>
          <w:p w14:paraId="07FF724F">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eastAsia="宋体" w:cs="Times New Roman"/>
                <w:color w:val="auto"/>
                <w:sz w:val="18"/>
                <w:szCs w:val="18"/>
                <w:highlight w:val="none"/>
                <w:woUserID w:val="1"/>
              </w:rPr>
            </w:pPr>
            <w:r>
              <w:rPr>
                <w:rFonts w:hint="default" w:ascii="Times New Roman" w:hAnsi="Times New Roman" w:eastAsia="宋体" w:cs="Times New Roman"/>
                <w:color w:val="auto"/>
                <w:sz w:val="18"/>
                <w:szCs w:val="18"/>
                <w:highlight w:val="none"/>
                <w:woUserID w:val="1"/>
              </w:rPr>
              <w:t>1324659002</w:t>
            </w:r>
          </w:p>
        </w:tc>
        <w:tc>
          <w:tcPr>
            <w:tcW w:w="1250" w:type="pct"/>
            <w:tcBorders>
              <w:tl2br w:val="nil"/>
              <w:tr2bl w:val="nil"/>
            </w:tcBorders>
            <w:shd w:val="clear" w:color="auto" w:fill="auto"/>
            <w:tcMar>
              <w:top w:w="12" w:type="dxa"/>
              <w:left w:w="12" w:type="dxa"/>
              <w:right w:w="12" w:type="dxa"/>
            </w:tcMar>
            <w:vAlign w:val="center"/>
          </w:tcPr>
          <w:p w14:paraId="1D94C3BF">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eastAsia="zh-CN" w:bidi="ar"/>
                <w:woUserID w:val="1"/>
              </w:rPr>
            </w:pPr>
            <w:r>
              <w:rPr>
                <w:rFonts w:hint="default" w:ascii="Times New Roman" w:hAnsi="Times New Roman" w:eastAsia="宋体" w:cs="Times New Roman"/>
                <w:bCs/>
                <w:kern w:val="0"/>
                <w:sz w:val="17"/>
                <w:szCs w:val="17"/>
                <w:lang w:eastAsia="zh-CN" w:bidi="ar"/>
                <w:woUserID w:val="1"/>
              </w:rPr>
              <w:t>顶岗实习及毕业实践</w:t>
            </w:r>
          </w:p>
          <w:p w14:paraId="7EC23920">
            <w:pPr>
              <w:adjustRightInd w:val="0"/>
              <w:spacing w:line="200" w:lineRule="exact"/>
              <w:ind w:left="0" w:leftChars="0" w:firstLine="0" w:firstLineChars="0"/>
              <w:jc w:val="left"/>
              <w:rPr>
                <w:rFonts w:hint="default" w:ascii="Times New Roman" w:hAnsi="Times New Roman" w:eastAsia="宋体" w:cs="Times New Roman"/>
                <w:bCs/>
                <w:kern w:val="0"/>
                <w:sz w:val="17"/>
                <w:szCs w:val="17"/>
                <w:lang w:eastAsia="zh-CN" w:bidi="ar"/>
                <w:woUserID w:val="1"/>
              </w:rPr>
            </w:pPr>
            <w:r>
              <w:rPr>
                <w:rFonts w:hint="default" w:ascii="Times New Roman" w:hAnsi="Times New Roman" w:eastAsia="宋体" w:cs="Times New Roman"/>
                <w:bCs/>
                <w:kern w:val="0"/>
                <w:sz w:val="17"/>
                <w:szCs w:val="17"/>
                <w:lang w:eastAsia="zh-CN" w:bidi="ar"/>
                <w:woUserID w:val="1"/>
              </w:rPr>
              <w:t>Job Internship and Graduation Practice</w:t>
            </w:r>
          </w:p>
        </w:tc>
        <w:tc>
          <w:tcPr>
            <w:tcW w:w="306" w:type="pct"/>
            <w:tcBorders>
              <w:tl2br w:val="nil"/>
              <w:tr2bl w:val="nil"/>
            </w:tcBorders>
            <w:shd w:val="clear" w:color="auto" w:fill="auto"/>
            <w:noWrap/>
            <w:tcMar>
              <w:top w:w="12" w:type="dxa"/>
              <w:left w:w="12" w:type="dxa"/>
              <w:right w:w="12" w:type="dxa"/>
            </w:tcMar>
            <w:vAlign w:val="center"/>
          </w:tcPr>
          <w:p w14:paraId="2E9C503B">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eastAsia="宋体" w:cs="Times New Roman"/>
                <w:color w:val="auto"/>
                <w:sz w:val="18"/>
                <w:szCs w:val="18"/>
                <w:highlight w:val="none"/>
                <w:lang w:eastAsia="zh-CN"/>
                <w:woUserID w:val="1"/>
              </w:rPr>
            </w:pPr>
            <w:r>
              <w:rPr>
                <w:rFonts w:hint="default" w:ascii="Times New Roman" w:hAnsi="Times New Roman" w:eastAsia="宋体" w:cs="Times New Roman"/>
                <w:color w:val="auto"/>
                <w:sz w:val="18"/>
                <w:szCs w:val="18"/>
                <w:highlight w:val="none"/>
                <w:lang w:eastAsia="zh-CN"/>
                <w:woUserID w:val="1"/>
              </w:rPr>
              <w:t>28</w:t>
            </w:r>
          </w:p>
        </w:tc>
        <w:tc>
          <w:tcPr>
            <w:tcW w:w="248" w:type="pct"/>
            <w:tcBorders>
              <w:tl2br w:val="nil"/>
              <w:tr2bl w:val="nil"/>
            </w:tcBorders>
            <w:shd w:val="clear" w:color="auto" w:fill="auto"/>
            <w:tcMar>
              <w:top w:w="12" w:type="dxa"/>
              <w:left w:w="12" w:type="dxa"/>
              <w:right w:w="12" w:type="dxa"/>
            </w:tcMar>
            <w:vAlign w:val="center"/>
          </w:tcPr>
          <w:p w14:paraId="3AAF1B04">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eastAsia="宋体" w:cs="Times New Roman"/>
                <w:color w:val="auto"/>
                <w:sz w:val="18"/>
                <w:szCs w:val="18"/>
                <w:highlight w:val="none"/>
                <w:lang w:eastAsia="zh-CN"/>
                <w:woUserID w:val="1"/>
              </w:rPr>
            </w:pPr>
            <w:r>
              <w:rPr>
                <w:rFonts w:hint="default" w:ascii="Times New Roman" w:hAnsi="Times New Roman" w:eastAsia="宋体" w:cs="Times New Roman"/>
                <w:color w:val="auto"/>
                <w:sz w:val="18"/>
                <w:szCs w:val="18"/>
                <w:highlight w:val="none"/>
                <w:lang w:eastAsia="zh-CN"/>
                <w:woUserID w:val="1"/>
              </w:rPr>
              <w:t>840</w:t>
            </w:r>
          </w:p>
        </w:tc>
        <w:tc>
          <w:tcPr>
            <w:tcW w:w="285" w:type="pct"/>
            <w:tcBorders>
              <w:tl2br w:val="nil"/>
              <w:tr2bl w:val="nil"/>
            </w:tcBorders>
            <w:shd w:val="clear" w:color="auto" w:fill="auto"/>
            <w:noWrap/>
            <w:tcMar>
              <w:top w:w="12" w:type="dxa"/>
              <w:left w:w="12" w:type="dxa"/>
              <w:right w:w="12" w:type="dxa"/>
            </w:tcMar>
            <w:vAlign w:val="center"/>
          </w:tcPr>
          <w:p w14:paraId="6EBBF198">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cs="Times New Roman"/>
                <w:bCs/>
                <w:kern w:val="0"/>
                <w:sz w:val="17"/>
                <w:szCs w:val="17"/>
                <w:highlight w:val="none"/>
                <w:lang w:val="en-US" w:eastAsia="zh-CN"/>
              </w:rPr>
            </w:pPr>
          </w:p>
        </w:tc>
        <w:tc>
          <w:tcPr>
            <w:tcW w:w="301" w:type="pct"/>
            <w:tcBorders>
              <w:tl2br w:val="nil"/>
              <w:tr2bl w:val="nil"/>
            </w:tcBorders>
            <w:shd w:val="clear" w:color="auto" w:fill="auto"/>
            <w:tcMar>
              <w:top w:w="12" w:type="dxa"/>
              <w:left w:w="12" w:type="dxa"/>
              <w:right w:w="12" w:type="dxa"/>
            </w:tcMar>
            <w:vAlign w:val="center"/>
          </w:tcPr>
          <w:p w14:paraId="608D21BC">
            <w:pPr>
              <w:keepNext w:val="0"/>
              <w:keepLines w:val="0"/>
              <w:pageBreakBefore w:val="0"/>
              <w:wordWrap/>
              <w:topLinePunct w:val="0"/>
              <w:bidi w:val="0"/>
              <w:spacing w:line="240" w:lineRule="auto"/>
              <w:ind w:left="0" w:leftChars="0" w:right="0" w:firstLine="0" w:firstLineChars="0"/>
              <w:jc w:val="center"/>
              <w:rPr>
                <w:rFonts w:hint="default" w:ascii="Times New Roman" w:hAnsi="Times New Roman" w:eastAsia="宋体" w:cs="Times New Roman"/>
                <w:color w:val="auto"/>
                <w:sz w:val="18"/>
                <w:szCs w:val="18"/>
                <w:highlight w:val="none"/>
                <w:lang w:eastAsia="zh-CN"/>
                <w:woUserID w:val="1"/>
              </w:rPr>
            </w:pPr>
            <w:r>
              <w:rPr>
                <w:rFonts w:hint="default" w:ascii="Times New Roman" w:hAnsi="Times New Roman" w:eastAsia="宋体" w:cs="Times New Roman"/>
                <w:color w:val="auto"/>
                <w:sz w:val="18"/>
                <w:szCs w:val="18"/>
                <w:highlight w:val="none"/>
                <w:lang w:eastAsia="zh-CN"/>
                <w:woUserID w:val="1"/>
              </w:rPr>
              <w:t>840</w:t>
            </w:r>
          </w:p>
        </w:tc>
        <w:tc>
          <w:tcPr>
            <w:tcW w:w="295" w:type="pct"/>
            <w:tcBorders>
              <w:tl2br w:val="nil"/>
              <w:tr2bl w:val="nil"/>
            </w:tcBorders>
            <w:shd w:val="clear" w:color="auto" w:fill="auto"/>
            <w:noWrap/>
            <w:tcMar>
              <w:top w:w="12" w:type="dxa"/>
              <w:left w:w="12" w:type="dxa"/>
              <w:right w:w="12" w:type="dxa"/>
            </w:tcMar>
            <w:vAlign w:val="center"/>
          </w:tcPr>
          <w:p w14:paraId="5CC35DCC">
            <w:pPr>
              <w:keepNext w:val="0"/>
              <w:keepLines w:val="0"/>
              <w:pageBreakBefore w:val="0"/>
              <w:wordWrap/>
              <w:topLinePunct w:val="0"/>
              <w:bidi w:val="0"/>
              <w:spacing w:line="240" w:lineRule="auto"/>
              <w:ind w:left="0" w:leftChars="0" w:right="0" w:firstLine="0" w:firstLineChars="0"/>
              <w:jc w:val="center"/>
              <w:rPr>
                <w:rFonts w:hint="default" w:ascii="Times New Roman" w:hAnsi="Times New Roman" w:eastAsia="宋体" w:cs="Times New Roman"/>
                <w:color w:val="auto"/>
                <w:sz w:val="18"/>
                <w:szCs w:val="18"/>
                <w:highlight w:val="none"/>
                <w:woUserID w:val="1"/>
              </w:rPr>
            </w:pPr>
            <w:r>
              <w:rPr>
                <w:rFonts w:ascii="Times New Roman" w:hAnsi="Times New Roman" w:eastAsia="宋体" w:cs="Times New Roman"/>
                <w:color w:val="auto"/>
                <w:sz w:val="18"/>
                <w:szCs w:val="18"/>
                <w:highlight w:val="none"/>
                <w:woUserID w:val="1"/>
              </w:rPr>
              <w:t>考查</w:t>
            </w:r>
          </w:p>
        </w:tc>
        <w:tc>
          <w:tcPr>
            <w:tcW w:w="327" w:type="pct"/>
            <w:tcBorders>
              <w:tl2br w:val="nil"/>
              <w:tr2bl w:val="nil"/>
            </w:tcBorders>
            <w:shd w:val="clear" w:color="auto" w:fill="auto"/>
            <w:noWrap/>
            <w:tcMar>
              <w:top w:w="12" w:type="dxa"/>
              <w:left w:w="12" w:type="dxa"/>
              <w:right w:w="12" w:type="dxa"/>
            </w:tcMar>
            <w:vAlign w:val="center"/>
          </w:tcPr>
          <w:p w14:paraId="233EDA33">
            <w:pPr>
              <w:keepNext w:val="0"/>
              <w:keepLines w:val="0"/>
              <w:pageBreakBefore w:val="0"/>
              <w:wordWrap/>
              <w:topLinePunct w:val="0"/>
              <w:bidi w:val="0"/>
              <w:spacing w:line="240" w:lineRule="auto"/>
              <w:ind w:left="0" w:leftChars="0" w:right="0" w:firstLine="0" w:firstLineChars="0"/>
              <w:jc w:val="center"/>
              <w:rPr>
                <w:rFonts w:hint="eastAsia" w:ascii="Times New Roman" w:hAnsi="Times New Roman" w:eastAsia="宋体" w:cs="Times New Roman"/>
                <w:color w:val="auto"/>
                <w:sz w:val="18"/>
                <w:szCs w:val="18"/>
                <w:highlight w:val="none"/>
                <w:lang w:val="en-US" w:eastAsia="zh-CN"/>
              </w:rPr>
            </w:pPr>
            <w:r>
              <w:rPr>
                <w:rFonts w:hint="eastAsia" w:ascii="Times New Roman" w:hAnsi="Times New Roman" w:eastAsia="宋体" w:cs="Times New Roman"/>
                <w:color w:val="auto"/>
                <w:sz w:val="18"/>
                <w:szCs w:val="18"/>
                <w:highlight w:val="none"/>
                <w:lang w:val="en-US" w:eastAsia="zh-CN"/>
                <w:woUserID w:val="1"/>
              </w:rPr>
              <w:t>5-6</w:t>
            </w:r>
          </w:p>
        </w:tc>
        <w:tc>
          <w:tcPr>
            <w:tcW w:w="811" w:type="pct"/>
            <w:tcBorders>
              <w:tl2br w:val="nil"/>
              <w:tr2bl w:val="nil"/>
            </w:tcBorders>
            <w:shd w:val="clear" w:color="auto" w:fill="auto"/>
            <w:noWrap/>
            <w:tcMar>
              <w:top w:w="12" w:type="dxa"/>
              <w:left w:w="12" w:type="dxa"/>
              <w:right w:w="12" w:type="dxa"/>
            </w:tcMar>
            <w:vAlign w:val="center"/>
          </w:tcPr>
          <w:p w14:paraId="06ECD2EF">
            <w:pPr>
              <w:keepNext w:val="0"/>
              <w:keepLines w:val="0"/>
              <w:pageBreakBefore w:val="0"/>
              <w:widowControl/>
              <w:wordWrap/>
              <w:topLinePunct w:val="0"/>
              <w:bidi w:val="0"/>
              <w:spacing w:line="240" w:lineRule="auto"/>
              <w:ind w:left="0" w:leftChars="0" w:right="0" w:firstLine="0" w:firstLineChars="0"/>
              <w:jc w:val="center"/>
              <w:textAlignment w:val="center"/>
              <w:rPr>
                <w:rFonts w:hint="default" w:ascii="Times New Roman" w:hAnsi="Times New Roman" w:cs="Times New Roman"/>
                <w:bCs/>
                <w:kern w:val="0"/>
                <w:sz w:val="17"/>
                <w:szCs w:val="17"/>
                <w:highlight w:val="none"/>
                <w:lang w:val="en-US" w:eastAsia="zh-CN"/>
              </w:rPr>
            </w:pPr>
          </w:p>
        </w:tc>
      </w:tr>
      <w:tr w14:paraId="61DC6B0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0" w:type="dxa"/>
            <w:bottom w:w="0" w:type="dxa"/>
            <w:right w:w="0" w:type="dxa"/>
          </w:tblCellMar>
        </w:tblPrEx>
        <w:trPr>
          <w:trHeight w:val="397" w:hRule="atLeast"/>
          <w:jc w:val="center"/>
        </w:trPr>
        <w:tc>
          <w:tcPr>
            <w:tcW w:w="253" w:type="pct"/>
            <w:vMerge w:val="continue"/>
            <w:tcBorders>
              <w:tl2br w:val="nil"/>
              <w:tr2bl w:val="nil"/>
            </w:tcBorders>
            <w:shd w:val="clear" w:color="auto" w:fill="auto"/>
            <w:tcMar>
              <w:top w:w="12" w:type="dxa"/>
              <w:left w:w="12" w:type="dxa"/>
              <w:right w:w="12" w:type="dxa"/>
            </w:tcMar>
            <w:vAlign w:val="center"/>
          </w:tcPr>
          <w:p w14:paraId="740CEFB7">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274" w:type="pct"/>
            <w:vMerge w:val="continue"/>
            <w:tcBorders>
              <w:tl2br w:val="nil"/>
              <w:tr2bl w:val="nil"/>
            </w:tcBorders>
            <w:shd w:val="clear" w:color="auto" w:fill="auto"/>
            <w:tcMar>
              <w:top w:w="12" w:type="dxa"/>
              <w:left w:w="12" w:type="dxa"/>
              <w:right w:w="12" w:type="dxa"/>
            </w:tcMar>
            <w:vAlign w:val="center"/>
          </w:tcPr>
          <w:p w14:paraId="167BE601">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1895" w:type="pct"/>
            <w:gridSpan w:val="2"/>
            <w:tcBorders>
              <w:tl2br w:val="nil"/>
              <w:tr2bl w:val="nil"/>
            </w:tcBorders>
            <w:shd w:val="clear" w:color="auto" w:fill="auto"/>
            <w:noWrap/>
            <w:tcMar>
              <w:top w:w="12" w:type="dxa"/>
              <w:left w:w="12" w:type="dxa"/>
              <w:right w:w="12" w:type="dxa"/>
            </w:tcMar>
            <w:vAlign w:val="center"/>
          </w:tcPr>
          <w:p w14:paraId="411CF35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合计</w:t>
            </w:r>
          </w:p>
        </w:tc>
        <w:tc>
          <w:tcPr>
            <w:tcW w:w="306" w:type="pct"/>
            <w:tcBorders>
              <w:tl2br w:val="nil"/>
              <w:tr2bl w:val="nil"/>
            </w:tcBorders>
            <w:shd w:val="clear" w:color="auto" w:fill="auto"/>
            <w:noWrap/>
            <w:tcMar>
              <w:top w:w="12" w:type="dxa"/>
              <w:left w:w="12" w:type="dxa"/>
              <w:right w:w="12" w:type="dxa"/>
            </w:tcMar>
            <w:vAlign w:val="center"/>
          </w:tcPr>
          <w:p w14:paraId="46961989">
            <w:pPr>
              <w:keepNext w:val="0"/>
              <w:keepLines w:val="0"/>
              <w:pageBreakBefore w:val="0"/>
              <w:wordWrap/>
              <w:topLinePunct w:val="0"/>
              <w:bidi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sz w:val="18"/>
                <w:szCs w:val="18"/>
                <w:highlight w:val="none"/>
                <w:lang w:val="en-US" w:eastAsia="zh-CN"/>
              </w:rPr>
              <w:t>36</w:t>
            </w:r>
          </w:p>
        </w:tc>
        <w:tc>
          <w:tcPr>
            <w:tcW w:w="248" w:type="pct"/>
            <w:tcBorders>
              <w:tl2br w:val="nil"/>
              <w:tr2bl w:val="nil"/>
            </w:tcBorders>
            <w:shd w:val="clear" w:color="auto" w:fill="auto"/>
            <w:noWrap/>
            <w:tcMar>
              <w:top w:w="12" w:type="dxa"/>
              <w:left w:w="12" w:type="dxa"/>
              <w:right w:w="12" w:type="dxa"/>
            </w:tcMar>
            <w:vAlign w:val="center"/>
          </w:tcPr>
          <w:p w14:paraId="5DC5753C">
            <w:pPr>
              <w:keepNext w:val="0"/>
              <w:keepLines w:val="0"/>
              <w:pageBreakBefore w:val="0"/>
              <w:wordWrap/>
              <w:topLinePunct w:val="0"/>
              <w:bidi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sz w:val="18"/>
                <w:szCs w:val="18"/>
                <w:highlight w:val="none"/>
                <w:lang w:val="en-US" w:eastAsia="zh-CN"/>
              </w:rPr>
              <w:t>1066</w:t>
            </w:r>
          </w:p>
        </w:tc>
        <w:tc>
          <w:tcPr>
            <w:tcW w:w="285" w:type="pct"/>
            <w:tcBorders>
              <w:tl2br w:val="nil"/>
              <w:tr2bl w:val="nil"/>
            </w:tcBorders>
            <w:shd w:val="clear" w:color="auto" w:fill="auto"/>
            <w:noWrap/>
            <w:tcMar>
              <w:top w:w="12" w:type="dxa"/>
              <w:left w:w="12" w:type="dxa"/>
              <w:right w:w="12" w:type="dxa"/>
            </w:tcMar>
            <w:vAlign w:val="center"/>
          </w:tcPr>
          <w:p w14:paraId="0B6D4989">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cs="Times New Roman"/>
                <w:b/>
                <w:bCs w:val="0"/>
                <w:kern w:val="0"/>
                <w:sz w:val="17"/>
                <w:szCs w:val="17"/>
                <w:highlight w:val="none"/>
                <w:lang w:val="en-US" w:eastAsia="zh-CN"/>
              </w:rPr>
              <w:t>8</w:t>
            </w:r>
          </w:p>
        </w:tc>
        <w:tc>
          <w:tcPr>
            <w:tcW w:w="301" w:type="pct"/>
            <w:tcBorders>
              <w:tl2br w:val="nil"/>
              <w:tr2bl w:val="nil"/>
            </w:tcBorders>
            <w:shd w:val="clear" w:color="auto" w:fill="auto"/>
            <w:noWrap/>
            <w:tcMar>
              <w:top w:w="12" w:type="dxa"/>
              <w:left w:w="12" w:type="dxa"/>
              <w:right w:w="12" w:type="dxa"/>
            </w:tcMar>
            <w:vAlign w:val="center"/>
          </w:tcPr>
          <w:p w14:paraId="338B3C62">
            <w:pPr>
              <w:keepNext w:val="0"/>
              <w:keepLines w:val="0"/>
              <w:pageBreakBefore w:val="0"/>
              <w:widowControl/>
              <w:wordWrap/>
              <w:topLinePunct w:val="0"/>
              <w:bidi w:val="0"/>
              <w:spacing w:line="240" w:lineRule="auto"/>
              <w:ind w:left="0" w:right="0"/>
              <w:jc w:val="center"/>
              <w:textAlignment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sz w:val="18"/>
                <w:szCs w:val="18"/>
                <w:highlight w:val="none"/>
                <w:lang w:val="en-US" w:eastAsia="zh-CN"/>
              </w:rPr>
              <w:t>1058</w:t>
            </w:r>
          </w:p>
        </w:tc>
        <w:tc>
          <w:tcPr>
            <w:tcW w:w="295" w:type="pct"/>
            <w:tcBorders>
              <w:tl2br w:val="nil"/>
              <w:tr2bl w:val="nil"/>
            </w:tcBorders>
            <w:shd w:val="clear" w:color="auto" w:fill="auto"/>
            <w:noWrap/>
            <w:tcMar>
              <w:top w:w="12" w:type="dxa"/>
              <w:left w:w="12" w:type="dxa"/>
              <w:right w:w="12" w:type="dxa"/>
            </w:tcMar>
            <w:vAlign w:val="center"/>
          </w:tcPr>
          <w:p w14:paraId="383B36B0">
            <w:pPr>
              <w:keepNext w:val="0"/>
              <w:keepLines w:val="0"/>
              <w:pageBreakBefore w:val="0"/>
              <w:wordWrap/>
              <w:topLinePunct w:val="0"/>
              <w:bidi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noWrap/>
            <w:tcMar>
              <w:top w:w="12" w:type="dxa"/>
              <w:left w:w="12" w:type="dxa"/>
              <w:right w:w="12" w:type="dxa"/>
            </w:tcMar>
            <w:vAlign w:val="center"/>
          </w:tcPr>
          <w:p w14:paraId="74389C14">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811" w:type="pct"/>
            <w:tcBorders>
              <w:tl2br w:val="nil"/>
              <w:tr2bl w:val="nil"/>
            </w:tcBorders>
            <w:shd w:val="clear" w:color="auto" w:fill="auto"/>
            <w:noWrap/>
            <w:tcMar>
              <w:top w:w="12" w:type="dxa"/>
              <w:left w:w="12" w:type="dxa"/>
              <w:right w:w="12" w:type="dxa"/>
            </w:tcMar>
            <w:vAlign w:val="center"/>
          </w:tcPr>
          <w:p w14:paraId="44DC4E3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r>
      <w:tr w14:paraId="42E486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2424" w:type="pct"/>
            <w:gridSpan w:val="4"/>
            <w:tcBorders>
              <w:tl2br w:val="nil"/>
              <w:tr2bl w:val="nil"/>
            </w:tcBorders>
            <w:shd w:val="clear" w:color="auto" w:fill="auto"/>
            <w:tcMar>
              <w:top w:w="12" w:type="dxa"/>
              <w:left w:w="12" w:type="dxa"/>
              <w:right w:w="12" w:type="dxa"/>
            </w:tcMar>
            <w:vAlign w:val="center"/>
          </w:tcPr>
          <w:p w14:paraId="43FBC21F">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必修课总计</w:t>
            </w:r>
          </w:p>
        </w:tc>
        <w:tc>
          <w:tcPr>
            <w:tcW w:w="306" w:type="pct"/>
            <w:tcBorders>
              <w:tl2br w:val="nil"/>
              <w:tr2bl w:val="nil"/>
            </w:tcBorders>
            <w:shd w:val="clear" w:color="auto" w:fill="auto"/>
            <w:tcMar>
              <w:top w:w="12" w:type="dxa"/>
              <w:left w:w="12" w:type="dxa"/>
              <w:right w:w="12" w:type="dxa"/>
            </w:tcMar>
            <w:vAlign w:val="center"/>
          </w:tcPr>
          <w:p w14:paraId="76BFE2EF">
            <w:pPr>
              <w:keepNext w:val="0"/>
              <w:keepLines w:val="0"/>
              <w:pageBreakBefore w:val="0"/>
              <w:wordWrap/>
              <w:topLinePunct w:val="0"/>
              <w:bidi w:val="0"/>
              <w:spacing w:line="240" w:lineRule="auto"/>
              <w:ind w:left="0" w:right="0"/>
              <w:jc w:val="center"/>
              <w:rPr>
                <w:rFonts w:hint="default" w:ascii="Times New Roman" w:hAnsi="Times New Roman" w:cs="Times New Roman" w:eastAsiaTheme="minorEastAsia"/>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111</w:t>
            </w:r>
          </w:p>
        </w:tc>
        <w:tc>
          <w:tcPr>
            <w:tcW w:w="248" w:type="pct"/>
            <w:tcBorders>
              <w:tl2br w:val="nil"/>
              <w:tr2bl w:val="nil"/>
            </w:tcBorders>
            <w:shd w:val="clear" w:color="auto" w:fill="auto"/>
            <w:tcMar>
              <w:top w:w="12" w:type="dxa"/>
              <w:left w:w="12" w:type="dxa"/>
              <w:right w:w="12" w:type="dxa"/>
            </w:tcMar>
            <w:vAlign w:val="center"/>
          </w:tcPr>
          <w:p w14:paraId="5E3150F8">
            <w:pPr>
              <w:keepNext w:val="0"/>
              <w:keepLines w:val="0"/>
              <w:pageBreakBefore w:val="0"/>
              <w:wordWrap/>
              <w:topLinePunct w:val="0"/>
              <w:bidi w:val="0"/>
              <w:spacing w:line="240" w:lineRule="auto"/>
              <w:ind w:left="0" w:right="0"/>
              <w:jc w:val="center"/>
              <w:rPr>
                <w:rFonts w:hint="default" w:ascii="Times New Roman" w:hAnsi="Times New Roman" w:cs="Times New Roman" w:eastAsiaTheme="minorEastAsia"/>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2460</w:t>
            </w:r>
          </w:p>
        </w:tc>
        <w:tc>
          <w:tcPr>
            <w:tcW w:w="285" w:type="pct"/>
            <w:tcBorders>
              <w:tl2br w:val="nil"/>
              <w:tr2bl w:val="nil"/>
            </w:tcBorders>
            <w:shd w:val="clear" w:color="auto" w:fill="auto"/>
            <w:tcMar>
              <w:top w:w="12" w:type="dxa"/>
              <w:left w:w="12" w:type="dxa"/>
              <w:right w:w="12" w:type="dxa"/>
            </w:tcMar>
            <w:vAlign w:val="center"/>
          </w:tcPr>
          <w:p w14:paraId="029E8CC3">
            <w:pPr>
              <w:keepNext w:val="0"/>
              <w:keepLines w:val="0"/>
              <w:pageBreakBefore w:val="0"/>
              <w:wordWrap/>
              <w:topLinePunct w:val="0"/>
              <w:bidi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920</w:t>
            </w:r>
          </w:p>
        </w:tc>
        <w:tc>
          <w:tcPr>
            <w:tcW w:w="301" w:type="pct"/>
            <w:tcBorders>
              <w:tl2br w:val="nil"/>
              <w:tr2bl w:val="nil"/>
            </w:tcBorders>
            <w:shd w:val="clear" w:color="auto" w:fill="auto"/>
            <w:tcMar>
              <w:top w:w="12" w:type="dxa"/>
              <w:left w:w="12" w:type="dxa"/>
              <w:right w:w="12" w:type="dxa"/>
            </w:tcMar>
            <w:vAlign w:val="center"/>
          </w:tcPr>
          <w:p w14:paraId="5778B828">
            <w:pPr>
              <w:keepNext w:val="0"/>
              <w:keepLines w:val="0"/>
              <w:pageBreakBefore w:val="0"/>
              <w:wordWrap/>
              <w:topLinePunct w:val="0"/>
              <w:bidi w:val="0"/>
              <w:spacing w:line="240" w:lineRule="auto"/>
              <w:ind w:left="0" w:right="0"/>
              <w:jc w:val="center"/>
              <w:rPr>
                <w:rFonts w:hint="default" w:ascii="Times New Roman" w:hAnsi="Times New Roman" w:cs="Times New Roman" w:eastAsiaTheme="minorEastAsia"/>
                <w:b/>
                <w:bCs w:val="0"/>
                <w:kern w:val="0"/>
                <w:sz w:val="17"/>
                <w:szCs w:val="17"/>
                <w:highlight w:val="none"/>
                <w:lang w:val="en-US" w:eastAsia="zh-CN"/>
              </w:rPr>
            </w:pPr>
            <w:r>
              <w:rPr>
                <w:rFonts w:hint="eastAsia" w:ascii="Times New Roman" w:hAnsi="Times New Roman" w:eastAsia="宋体" w:cs="Times New Roman"/>
                <w:b/>
                <w:bCs/>
                <w:color w:val="auto"/>
                <w:kern w:val="0"/>
                <w:sz w:val="18"/>
                <w:szCs w:val="18"/>
                <w:highlight w:val="none"/>
                <w:lang w:val="en-US" w:eastAsia="zh-CN" w:bidi="ar"/>
              </w:rPr>
              <w:t>1540</w:t>
            </w:r>
          </w:p>
        </w:tc>
        <w:tc>
          <w:tcPr>
            <w:tcW w:w="295" w:type="pct"/>
            <w:tcBorders>
              <w:tl2br w:val="nil"/>
              <w:tr2bl w:val="nil"/>
            </w:tcBorders>
            <w:shd w:val="clear" w:color="auto" w:fill="auto"/>
            <w:tcMar>
              <w:top w:w="12" w:type="dxa"/>
              <w:left w:w="12" w:type="dxa"/>
              <w:right w:w="12" w:type="dxa"/>
            </w:tcMar>
            <w:vAlign w:val="center"/>
          </w:tcPr>
          <w:p w14:paraId="5A24101C">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c>
          <w:tcPr>
            <w:tcW w:w="327" w:type="pct"/>
            <w:tcBorders>
              <w:tl2br w:val="nil"/>
              <w:tr2bl w:val="nil"/>
            </w:tcBorders>
            <w:shd w:val="clear" w:color="auto" w:fill="auto"/>
            <w:tcMar>
              <w:top w:w="12" w:type="dxa"/>
              <w:left w:w="12" w:type="dxa"/>
              <w:right w:w="12" w:type="dxa"/>
            </w:tcMar>
            <w:vAlign w:val="center"/>
          </w:tcPr>
          <w:p w14:paraId="1A40F6B3">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bookmarkStart w:id="21" w:name="_GoBack"/>
            <w:bookmarkEnd w:id="21"/>
          </w:p>
        </w:tc>
        <w:tc>
          <w:tcPr>
            <w:tcW w:w="811" w:type="pct"/>
            <w:tcBorders>
              <w:tl2br w:val="nil"/>
              <w:tr2bl w:val="nil"/>
            </w:tcBorders>
            <w:shd w:val="clear" w:color="auto" w:fill="auto"/>
            <w:tcMar>
              <w:top w:w="12" w:type="dxa"/>
              <w:left w:w="12" w:type="dxa"/>
              <w:right w:w="12" w:type="dxa"/>
            </w:tcMar>
            <w:vAlign w:val="center"/>
          </w:tcPr>
          <w:p w14:paraId="01EF3EE5">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p>
        </w:tc>
      </w:tr>
      <w:tr w14:paraId="37B664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shd w:val="clear" w:color="auto" w:fill="auto"/>
          <w:tblCellMar>
            <w:top w:w="0" w:type="dxa"/>
            <w:left w:w="0" w:type="dxa"/>
            <w:bottom w:w="0" w:type="dxa"/>
            <w:right w:w="0" w:type="dxa"/>
          </w:tblCellMar>
        </w:tblPrEx>
        <w:trPr>
          <w:trHeight w:val="397" w:hRule="atLeast"/>
          <w:jc w:val="center"/>
        </w:trPr>
        <w:tc>
          <w:tcPr>
            <w:tcW w:w="5000" w:type="pct"/>
            <w:gridSpan w:val="11"/>
            <w:tcBorders>
              <w:tl2br w:val="nil"/>
              <w:tr2bl w:val="nil"/>
            </w:tcBorders>
            <w:shd w:val="clear" w:color="auto" w:fill="auto"/>
            <w:tcMar>
              <w:top w:w="12" w:type="dxa"/>
              <w:left w:w="12" w:type="dxa"/>
              <w:right w:w="12" w:type="dxa"/>
            </w:tcMar>
            <w:vAlign w:val="center"/>
          </w:tcPr>
          <w:p w14:paraId="42D7103A">
            <w:pPr>
              <w:keepNext w:val="0"/>
              <w:keepLines w:val="0"/>
              <w:pageBreakBefore w:val="0"/>
              <w:wordWrap/>
              <w:topLinePunct w:val="0"/>
              <w:bidi w:val="0"/>
              <w:adjustRightInd w:val="0"/>
              <w:spacing w:line="240" w:lineRule="auto"/>
              <w:ind w:left="0" w:right="0"/>
              <w:jc w:val="center"/>
              <w:rPr>
                <w:rFonts w:hint="default" w:ascii="Times New Roman" w:hAnsi="Times New Roman" w:cs="Times New Roman"/>
                <w:b/>
                <w:bCs w:val="0"/>
                <w:kern w:val="0"/>
                <w:sz w:val="17"/>
                <w:szCs w:val="17"/>
                <w:highlight w:val="none"/>
                <w:lang w:val="en-US" w:eastAsia="zh-CN"/>
              </w:rPr>
            </w:pPr>
            <w:r>
              <w:rPr>
                <w:rFonts w:hint="default" w:ascii="Times New Roman" w:hAnsi="Times New Roman" w:cs="Times New Roman"/>
                <w:b/>
                <w:bCs w:val="0"/>
                <w:kern w:val="0"/>
                <w:sz w:val="17"/>
                <w:szCs w:val="17"/>
                <w:highlight w:val="none"/>
                <w:lang w:val="en-US" w:eastAsia="zh-CN"/>
              </w:rPr>
              <w:t>总学分/学时：</w:t>
            </w:r>
            <w:r>
              <w:rPr>
                <w:rFonts w:ascii="Times New Roman" w:hAnsi="Times New Roman" w:eastAsia="宋体" w:cs="Times New Roman"/>
                <w:b/>
                <w:bCs/>
                <w:color w:val="auto"/>
                <w:sz w:val="18"/>
                <w:szCs w:val="18"/>
                <w:highlight w:val="none"/>
              </w:rPr>
              <w:t>1</w:t>
            </w:r>
            <w:r>
              <w:rPr>
                <w:rFonts w:hint="eastAsia" w:ascii="Times New Roman" w:hAnsi="Times New Roman" w:eastAsia="宋体" w:cs="Times New Roman"/>
                <w:b/>
                <w:bCs/>
                <w:color w:val="auto"/>
                <w:sz w:val="18"/>
                <w:szCs w:val="18"/>
                <w:highlight w:val="none"/>
                <w:lang w:val="en-US" w:eastAsia="zh-CN"/>
              </w:rPr>
              <w:t>30</w:t>
            </w:r>
            <w:r>
              <w:rPr>
                <w:rFonts w:ascii="Times New Roman" w:hAnsi="Times New Roman" w:eastAsia="宋体" w:cs="Times New Roman"/>
                <w:b/>
                <w:bCs/>
                <w:color w:val="auto"/>
                <w:sz w:val="18"/>
                <w:szCs w:val="18"/>
                <w:highlight w:val="none"/>
              </w:rPr>
              <w:t>/</w:t>
            </w:r>
            <w:r>
              <w:rPr>
                <w:rFonts w:hint="eastAsia" w:ascii="Times New Roman" w:hAnsi="Times New Roman" w:eastAsia="宋体" w:cs="Times New Roman"/>
                <w:b/>
                <w:bCs/>
                <w:color w:val="auto"/>
                <w:sz w:val="18"/>
                <w:szCs w:val="18"/>
                <w:highlight w:val="none"/>
                <w:lang w:val="en-US" w:eastAsia="zh-CN"/>
              </w:rPr>
              <w:t>2764</w:t>
            </w:r>
            <w:r>
              <w:rPr>
                <w:rFonts w:hint="default" w:ascii="Times New Roman" w:hAnsi="Times New Roman" w:cs="Times New Roman"/>
                <w:b/>
                <w:bCs w:val="0"/>
                <w:kern w:val="0"/>
                <w:sz w:val="17"/>
                <w:szCs w:val="17"/>
                <w:highlight w:val="none"/>
                <w:lang w:val="en-US" w:eastAsia="zh-CN"/>
              </w:rPr>
              <w:t>其中必修课学分/学时：</w:t>
            </w:r>
            <w:r>
              <w:rPr>
                <w:rFonts w:ascii="Times New Roman" w:hAnsi="Times New Roman" w:eastAsia="宋体" w:cs="Times New Roman"/>
                <w:b/>
                <w:bCs/>
                <w:color w:val="auto"/>
                <w:sz w:val="18"/>
                <w:szCs w:val="18"/>
                <w:highlight w:val="none"/>
              </w:rPr>
              <w:t>：11</w:t>
            </w:r>
            <w:r>
              <w:rPr>
                <w:rFonts w:hint="eastAsia" w:ascii="Times New Roman" w:hAnsi="Times New Roman" w:eastAsia="宋体" w:cs="Times New Roman"/>
                <w:b/>
                <w:bCs/>
                <w:color w:val="auto"/>
                <w:sz w:val="18"/>
                <w:szCs w:val="18"/>
                <w:highlight w:val="none"/>
                <w:lang w:val="en-US" w:eastAsia="zh-CN"/>
              </w:rPr>
              <w:t>1</w:t>
            </w:r>
            <w:r>
              <w:rPr>
                <w:rFonts w:ascii="Times New Roman" w:hAnsi="Times New Roman" w:eastAsia="宋体" w:cs="Times New Roman"/>
                <w:b/>
                <w:bCs/>
                <w:color w:val="auto"/>
                <w:sz w:val="18"/>
                <w:szCs w:val="18"/>
                <w:highlight w:val="none"/>
              </w:rPr>
              <w:t>/24</w:t>
            </w:r>
            <w:r>
              <w:rPr>
                <w:rFonts w:hint="eastAsia" w:ascii="Times New Roman" w:hAnsi="Times New Roman" w:eastAsia="宋体" w:cs="Times New Roman"/>
                <w:b/>
                <w:bCs/>
                <w:color w:val="auto"/>
                <w:sz w:val="18"/>
                <w:szCs w:val="18"/>
                <w:highlight w:val="none"/>
                <w:lang w:val="en-US" w:eastAsia="zh-CN"/>
              </w:rPr>
              <w:t>60</w:t>
            </w:r>
            <w:r>
              <w:rPr>
                <w:rFonts w:hint="default" w:ascii="Times New Roman" w:hAnsi="Times New Roman" w:cs="Times New Roman"/>
                <w:b/>
                <w:bCs w:val="0"/>
                <w:kern w:val="0"/>
                <w:sz w:val="17"/>
                <w:szCs w:val="17"/>
                <w:highlight w:val="none"/>
                <w:lang w:val="en-US" w:eastAsia="zh-CN"/>
              </w:rPr>
              <w:t>选修课学分/学时：</w:t>
            </w:r>
            <w:r>
              <w:rPr>
                <w:rFonts w:ascii="Times New Roman" w:hAnsi="Times New Roman" w:eastAsia="宋体" w:cs="Times New Roman"/>
                <w:b/>
                <w:bCs/>
                <w:color w:val="auto"/>
                <w:sz w:val="18"/>
                <w:szCs w:val="18"/>
                <w:highlight w:val="none"/>
              </w:rPr>
              <w:t>1</w:t>
            </w:r>
            <w:r>
              <w:rPr>
                <w:rFonts w:hint="eastAsia" w:ascii="Times New Roman" w:hAnsi="Times New Roman" w:eastAsia="宋体" w:cs="Times New Roman"/>
                <w:b/>
                <w:bCs/>
                <w:color w:val="auto"/>
                <w:sz w:val="18"/>
                <w:szCs w:val="18"/>
                <w:highlight w:val="none"/>
                <w:lang w:val="en-US" w:eastAsia="zh-CN"/>
              </w:rPr>
              <w:t>9</w:t>
            </w:r>
            <w:r>
              <w:rPr>
                <w:rFonts w:ascii="Times New Roman" w:hAnsi="Times New Roman" w:eastAsia="宋体" w:cs="Times New Roman"/>
                <w:b/>
                <w:bCs/>
                <w:color w:val="auto"/>
                <w:sz w:val="18"/>
                <w:szCs w:val="18"/>
                <w:highlight w:val="none"/>
              </w:rPr>
              <w:t>/</w:t>
            </w:r>
            <w:r>
              <w:rPr>
                <w:rFonts w:hint="eastAsia" w:ascii="Times New Roman" w:hAnsi="Times New Roman" w:eastAsia="宋体" w:cs="Times New Roman"/>
                <w:b/>
                <w:bCs/>
                <w:color w:val="auto"/>
                <w:sz w:val="18"/>
                <w:szCs w:val="18"/>
                <w:highlight w:val="none"/>
                <w:lang w:val="en-US" w:eastAsia="zh-CN"/>
              </w:rPr>
              <w:t>304</w:t>
            </w:r>
          </w:p>
        </w:tc>
      </w:tr>
    </w:tbl>
    <w:p w14:paraId="1C502B7E">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7510D792">
      <w:pPr>
        <w:keepNext w:val="0"/>
        <w:keepLines w:val="0"/>
        <w:pageBreakBefore w:val="0"/>
        <w:widowControl w:val="0"/>
        <w:numPr>
          <w:ilvl w:val="0"/>
          <w:numId w:val="12"/>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szCs w:val="32"/>
          <w:lang w:val="en-US" w:eastAsia="zh-CN"/>
        </w:rPr>
      </w:pPr>
      <w:r>
        <w:drawing>
          <wp:anchor distT="0" distB="0" distL="114300" distR="114300" simplePos="0" relativeHeight="251659264" behindDoc="0" locked="0" layoutInCell="1" allowOverlap="1">
            <wp:simplePos x="0" y="0"/>
            <wp:positionH relativeFrom="column">
              <wp:posOffset>11430</wp:posOffset>
            </wp:positionH>
            <wp:positionV relativeFrom="paragraph">
              <wp:posOffset>361950</wp:posOffset>
            </wp:positionV>
            <wp:extent cx="8785225" cy="4815840"/>
            <wp:effectExtent l="0" t="0" r="15875" b="381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785225" cy="4815840"/>
                    </a:xfrm>
                    <a:prstGeom prst="rect">
                      <a:avLst/>
                    </a:prstGeom>
                    <a:noFill/>
                    <a:ln>
                      <a:noFill/>
                    </a:ln>
                  </pic:spPr>
                </pic:pic>
              </a:graphicData>
            </a:graphic>
          </wp:anchor>
        </w:drawing>
      </w:r>
      <w:r>
        <w:rPr>
          <w:rFonts w:hint="eastAsia" w:ascii="宋体" w:hAnsi="宋体" w:eastAsia="宋体" w:cs="宋体"/>
          <w:b/>
          <w:szCs w:val="32"/>
          <w:lang w:val="en-US" w:eastAsia="zh-CN"/>
        </w:rPr>
        <w:t>课程设置流程图</w:t>
      </w:r>
    </w:p>
    <w:p w14:paraId="3FBC26B2">
      <w:pPr>
        <w:keepNext w:val="0"/>
        <w:keepLines w:val="0"/>
        <w:pageBreakBefore w:val="0"/>
        <w:wordWrap/>
        <w:topLinePunct w:val="0"/>
        <w:bidi w:val="0"/>
        <w:spacing w:line="400" w:lineRule="exact"/>
        <w:ind w:left="0" w:right="0"/>
        <w:rPr>
          <w:rFonts w:hint="eastAsia" w:ascii="黑体" w:hAnsi="黑体" w:eastAsia="黑体" w:cs="黑体"/>
          <w:bCs/>
          <w:sz w:val="24"/>
          <w:szCs w:val="24"/>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pPr>
    </w:p>
    <w:p w14:paraId="29906778">
      <w:pPr>
        <w:keepNext w:val="0"/>
        <w:keepLines w:val="0"/>
        <w:pageBreakBefore w:val="0"/>
        <w:widowControl w:val="0"/>
        <w:kinsoku/>
        <w:wordWrap/>
        <w:topLinePunct w:val="0"/>
        <w:autoSpaceDE/>
        <w:autoSpaceDN/>
        <w:bidi w:val="0"/>
        <w:spacing w:line="400" w:lineRule="exact"/>
        <w:ind w:left="0" w:right="0" w:firstLine="480" w:firstLineChars="200"/>
        <w:textAlignment w:val="auto"/>
        <w:rPr>
          <w:rFonts w:hint="eastAsia" w:ascii="黑体" w:hAnsi="黑体" w:eastAsia="黑体" w:cs="黑体"/>
          <w:bCs/>
          <w:sz w:val="24"/>
          <w:szCs w:val="24"/>
        </w:rPr>
      </w:pPr>
      <w:r>
        <w:rPr>
          <w:rFonts w:hint="eastAsia" w:ascii="黑体" w:hAnsi="黑体" w:eastAsia="黑体" w:cs="黑体"/>
          <w:bCs/>
          <w:sz w:val="24"/>
          <w:szCs w:val="24"/>
        </w:rPr>
        <w:t>八、实施保障</w:t>
      </w:r>
    </w:p>
    <w:p w14:paraId="32F57A01">
      <w:pPr>
        <w:keepNext w:val="0"/>
        <w:keepLines w:val="0"/>
        <w:pageBreakBefore w:val="0"/>
        <w:widowControl w:val="0"/>
        <w:kinsoku/>
        <w:wordWrap/>
        <w:overflowPunct w:val="0"/>
        <w:topLinePunct w:val="0"/>
        <w:autoSpaceDE/>
        <w:autoSpaceDN/>
        <w:bidi w:val="0"/>
        <w:adjustRightInd w:val="0"/>
        <w:spacing w:line="400" w:lineRule="exact"/>
        <w:ind w:left="0" w:right="0" w:firstLine="420" w:firstLineChars="200"/>
        <w:textAlignment w:val="auto"/>
        <w:rPr>
          <w:rFonts w:hint="eastAsia" w:ascii="宋体" w:hAnsi="宋体" w:eastAsia="宋体" w:cs="宋体"/>
        </w:rPr>
      </w:pPr>
      <w:r>
        <w:rPr>
          <w:rFonts w:hint="eastAsia" w:ascii="宋体" w:hAnsi="宋体" w:eastAsia="宋体" w:cs="宋体"/>
        </w:rPr>
        <w:t>主要包括师资队伍、教学设施、教学资源、教学方法、学习评价、质量管理等方面。</w:t>
      </w:r>
    </w:p>
    <w:p w14:paraId="588DB4E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（一）师资队伍</w:t>
      </w:r>
    </w:p>
    <w:p w14:paraId="7F4366D7">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1.</w:t>
      </w:r>
      <w:r>
        <w:rPr>
          <w:rFonts w:hint="eastAsia" w:ascii="宋体" w:hAnsi="宋体" w:eastAsia="宋体" w:cs="宋体"/>
          <w:b w:val="0"/>
          <w:bCs/>
          <w:szCs w:val="32"/>
        </w:rPr>
        <w:t>队伍结构</w:t>
      </w:r>
    </w:p>
    <w:p w14:paraId="5AEF23F9">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学生与本专业专任教师比例不超过25:1，确保每位学生都能得到充分指导。双师素质教师占专业教师比例不低于60%，形成理论与实践并重的教学团队。同时，专任教师队伍在职称和年龄上分布合理，构建老中青相结合的梯队结构，促进教学经验传承与创新。</w:t>
      </w:r>
    </w:p>
    <w:p w14:paraId="304CD50F">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2</w:t>
      </w:r>
      <w:r>
        <w:rPr>
          <w:rFonts w:hint="eastAsia" w:ascii="宋体" w:hAnsi="宋体" w:eastAsia="宋体" w:cs="宋体"/>
          <w:b w:val="0"/>
          <w:bCs/>
          <w:szCs w:val="32"/>
        </w:rPr>
        <w:t>专任教师</w:t>
      </w:r>
    </w:p>
    <w:p w14:paraId="495D9529">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专任教师需具备高校教师资格，秉持“四有”好老师标准，即有理想信念、有道德情操、有扎实学识、有仁爱之心。学历要求为新能源汽车相关专业本科及以上，拥有深厚专业理论基础与丰富实践经验。熟练掌握信息化教学手段，积极开展课程教学改革与科学研究，并保证每5年累计不少于6个月的企业实践经历，及时了解行业前沿动态，将最新技术融入教学。</w:t>
      </w:r>
    </w:p>
    <w:p w14:paraId="4D65199D">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kern w:val="2"/>
          <w:sz w:val="21"/>
          <w:szCs w:val="32"/>
          <w:lang w:val="en-US" w:eastAsia="zh-CN" w:bidi="ar-SA"/>
        </w:rPr>
        <w:t>3.</w:t>
      </w:r>
      <w:r>
        <w:rPr>
          <w:rFonts w:hint="eastAsia" w:ascii="宋体" w:hAnsi="宋体" w:eastAsia="宋体" w:cs="宋体"/>
          <w:b w:val="0"/>
          <w:bCs/>
          <w:szCs w:val="32"/>
        </w:rPr>
        <w:t>专业带头人</w:t>
      </w:r>
    </w:p>
    <w:p w14:paraId="2F8C52AB">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专业带头人原则上具有副高及以上职称，能够精准把握国内外新能源汽车行业发展趋势与专业发展方向。广泛与行业企业建立联系，深度了解企业人才需求，具备出色的教学设计与专业研究能力，组织开展教科研工作成果显著，在区域或领域内具备一定专业影响力，引领专业建设与发展。</w:t>
      </w:r>
    </w:p>
    <w:p w14:paraId="6E3ECCE0">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kern w:val="2"/>
          <w:sz w:val="21"/>
          <w:szCs w:val="32"/>
          <w:lang w:val="en-US" w:eastAsia="zh-CN" w:bidi="ar-SA"/>
        </w:rPr>
        <w:t>4.</w:t>
      </w:r>
      <w:r>
        <w:rPr>
          <w:rFonts w:hint="eastAsia" w:ascii="宋体" w:hAnsi="宋体" w:eastAsia="宋体" w:cs="宋体"/>
          <w:b w:val="0"/>
          <w:bCs/>
          <w:szCs w:val="32"/>
        </w:rPr>
        <w:t>兼职教师</w:t>
      </w:r>
    </w:p>
    <w:p w14:paraId="1DFEAEC2">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兼职教师主要从新能源汽车行业企业聘任，具备良好思想政治素质、职业道德与工匠精神。拥有扎实专业知识和丰富实际工作经验，具备中级及以上相关专业职称，能够承担专业课程教学、实习实训指导以及学生职业发展规划指导等教学任务，将企业实际案例与工作流程引入课堂，增强教学实用性。</w:t>
      </w:r>
    </w:p>
    <w:p w14:paraId="4F078D44">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highlight w:val="none"/>
          <w:lang w:val="en-US" w:eastAsia="zh-CN"/>
        </w:rPr>
      </w:pPr>
      <w:r>
        <w:rPr>
          <w:rFonts w:hint="eastAsia" w:ascii="宋体" w:hAnsi="宋体" w:eastAsia="宋体" w:cs="宋体"/>
          <w:b/>
          <w:szCs w:val="32"/>
          <w:highlight w:val="none"/>
          <w:lang w:val="en-US" w:eastAsia="zh-CN"/>
        </w:rPr>
        <w:t>（二）教学设施</w:t>
      </w:r>
    </w:p>
    <w:p w14:paraId="0F561F81">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1.</w:t>
      </w:r>
      <w:r>
        <w:rPr>
          <w:rFonts w:hint="eastAsia" w:ascii="宋体" w:hAnsi="宋体" w:eastAsia="宋体" w:cs="宋体"/>
          <w:b w:val="0"/>
          <w:bCs/>
          <w:szCs w:val="32"/>
        </w:rPr>
        <w:t>专业教室基本条件</w:t>
      </w:r>
    </w:p>
    <w:p w14:paraId="16D5F0A0">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专业教室配备黑（白）板、多媒体计算机、投影设备、音响设备、互联网接入或Wi-Fi环境，并实施网络安全防护措施；安装应急照明装置并保持良好状态，符合紧急疏散要求，标志明显，保持逃生通道畅通无阻。</w:t>
      </w:r>
    </w:p>
    <w:p w14:paraId="1EBB72F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2.</w:t>
      </w:r>
      <w:r>
        <w:rPr>
          <w:rFonts w:hint="eastAsia" w:ascii="宋体" w:hAnsi="宋体" w:eastAsia="宋体" w:cs="宋体"/>
          <w:b w:val="0"/>
          <w:bCs/>
          <w:szCs w:val="32"/>
        </w:rPr>
        <w:t>校内实训室基本要求</w:t>
      </w:r>
    </w:p>
    <w:p w14:paraId="6D980568">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(1)</w:t>
      </w:r>
      <w:r>
        <w:rPr>
          <w:rFonts w:hint="eastAsia" w:ascii="宋体" w:hAnsi="宋体" w:eastAsia="宋体" w:cs="宋体"/>
          <w:b w:val="0"/>
          <w:bCs/>
          <w:szCs w:val="32"/>
        </w:rPr>
        <w:t>电工电子实训室</w:t>
      </w:r>
    </w:p>
    <w:p w14:paraId="2F9DDDCF">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电工电子实训室应配备电工电子实验台、万用表、示波器等仪器设备，按照4-5人/台（套）配备，用于电工电子相关实验实训。</w:t>
      </w:r>
    </w:p>
    <w:p w14:paraId="6BB4E7E7">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(2)</w:t>
      </w:r>
      <w:r>
        <w:rPr>
          <w:rFonts w:hint="eastAsia" w:ascii="宋体" w:hAnsi="宋体" w:eastAsia="宋体" w:cs="宋体"/>
          <w:b w:val="0"/>
          <w:bCs/>
          <w:szCs w:val="32"/>
        </w:rPr>
        <w:t>汽车拆装实训室</w:t>
      </w:r>
    </w:p>
    <w:p w14:paraId="3E1F3CFF">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汽车拆装实训室应配备汽车及总成部件、拆装台架，专用拆装工具，汽车检测检测设备与仪器，按照4-5人/台（套）配备，用于汽车及总成部件的拆装实训。</w:t>
      </w:r>
    </w:p>
    <w:p w14:paraId="2AB0A7B4">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(3)</w:t>
      </w:r>
      <w:r>
        <w:rPr>
          <w:rFonts w:hint="eastAsia" w:ascii="宋体" w:hAnsi="宋体" w:eastAsia="宋体" w:cs="宋体"/>
          <w:b w:val="0"/>
          <w:bCs/>
          <w:szCs w:val="32"/>
        </w:rPr>
        <w:t>发动机检测与维修实训室</w:t>
      </w:r>
    </w:p>
    <w:p w14:paraId="4E14BFD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发动机检测与维修实训室应配备发动机实训台、万用表、示波器、专用拆装工具、测量器具、故障诊断仪等，按照4-5人/台（套）配备，用于发动机检测与维修实训。</w:t>
      </w:r>
    </w:p>
    <w:p w14:paraId="6E6251CB">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(4)</w:t>
      </w:r>
      <w:r>
        <w:rPr>
          <w:rFonts w:hint="eastAsia" w:ascii="宋体" w:hAnsi="宋体" w:eastAsia="宋体" w:cs="宋体"/>
          <w:b w:val="0"/>
          <w:bCs/>
          <w:szCs w:val="32"/>
        </w:rPr>
        <w:t>汽车底盘检测与维修实训室</w:t>
      </w:r>
    </w:p>
    <w:p w14:paraId="0A9E721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汽车底盘检测与维修实训室应配备传动系统实训台、悬架系统实训台、转向系统实训台、制动系统实训台、专用拆装工具、测量器具、故障诊断仪等，按照4-5人/台（套）配备，用于汽车底盘各系统或总成的检测与维修实训。</w:t>
      </w:r>
    </w:p>
    <w:p w14:paraId="2FD81A92">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（5）汽车电气系统检测与维修实训室</w:t>
      </w:r>
    </w:p>
    <w:p w14:paraId="1AC5F66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汽车电气系统检测与维修实训室应配备发电机、起动机等电气系统总成部件，整车电气系统实训台、照明系统实训台、空调系统实训台、安全气囊实训台、娱乐系统实训台等，以及万用表、故障诊断仪等仪器设备，按照4-5人/台（套）配备，用于汽车电气系统检测与维修实训。</w:t>
      </w:r>
    </w:p>
    <w:p w14:paraId="78C3F7F3">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（6）汽车维护及综合故障诊断实训室</w:t>
      </w:r>
    </w:p>
    <w:p w14:paraId="2020D29D">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汽车维护及综合故障诊断实训室应配备教学车辆、举升机、废气排放系统、拆装工具、诊断仪及专用工具等按照4-5人/台（套）配备，用于汽车维护及综合故障诊断实训。</w:t>
      </w:r>
    </w:p>
    <w:p w14:paraId="1A14882F">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3.</w:t>
      </w:r>
      <w:r>
        <w:rPr>
          <w:rFonts w:hint="eastAsia" w:ascii="宋体" w:hAnsi="宋体" w:eastAsia="宋体" w:cs="宋体"/>
          <w:b w:val="0"/>
          <w:bCs/>
          <w:szCs w:val="32"/>
        </w:rPr>
        <w:t>校外实训基地基本要求</w:t>
      </w:r>
    </w:p>
    <w:p w14:paraId="7D7585B3">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具有稳定的校外实训基地，能提供汽车质量检测、汽车故障返修、汽车机电维修、服务顾问等相关实习岗位，能涵盖当前相关产业发展的主流技术，可接纳一定规模的学生实习；能够配备相应数量的指导教师对学生实习进行指导和管理；有保证实习日常工作、学习、生活的规章制度，有安全、保险保障。</w:t>
      </w:r>
    </w:p>
    <w:p w14:paraId="5D97BDD6">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highlight w:val="none"/>
          <w:lang w:val="en-US" w:eastAsia="zh-CN"/>
        </w:rPr>
      </w:pPr>
      <w:r>
        <w:rPr>
          <w:rFonts w:hint="eastAsia" w:ascii="宋体" w:hAnsi="宋体" w:eastAsia="宋体" w:cs="宋体"/>
          <w:b/>
          <w:szCs w:val="32"/>
          <w:highlight w:val="none"/>
          <w:lang w:val="en-US" w:eastAsia="zh-CN"/>
        </w:rPr>
        <w:t>（三）教学资源</w:t>
      </w:r>
    </w:p>
    <w:p w14:paraId="1AD401EA">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1.教材选用基本要求</w:t>
      </w:r>
    </w:p>
    <w:p w14:paraId="50E1EA27">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按照国家规定选用优质教材，禁止不合格的教材进入课堂。学校应建立专业教师、行业专家和教研人员等参与的教材选用机构，完善教材选用制度，经过规范程序择优选用教材。</w:t>
      </w:r>
    </w:p>
    <w:p w14:paraId="500FD90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2.图书文献配备基本要求</w:t>
      </w:r>
    </w:p>
    <w:p w14:paraId="37EEA943">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图书文献配备是满足人才培养、专业建设、教科研等工作的需要，方便师生查询、借阅。专业类图书文献主要包括：汽车制造行业政策法规、行业标准、技术规范以及主流汽车品牌相应车型的维修手册、电气与电子工艺手册等；汽车检测与维修专业技术图书和实务案列类图书；5种以上汽车检测与维修专业学术期刊等。</w:t>
      </w:r>
    </w:p>
    <w:p w14:paraId="2BB9147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3.数字教学资源配备基本要求</w:t>
      </w:r>
    </w:p>
    <w:p w14:paraId="285E7307">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lang w:val="en-US" w:eastAsia="zh-CN"/>
        </w:rPr>
      </w:pPr>
      <w:r>
        <w:rPr>
          <w:rFonts w:hint="eastAsia" w:ascii="宋体" w:hAnsi="宋体" w:eastAsia="宋体" w:cs="宋体"/>
          <w:b w:val="0"/>
          <w:bCs/>
          <w:szCs w:val="32"/>
          <w:lang w:val="en-US" w:eastAsia="zh-CN"/>
        </w:rPr>
        <w:t>建设、配备与本专业有关的音视频素材、教学课件、数字化教学案例库、虚拟仿真软件、数字教材等专业教学资源库，应种类丰富、形式多样、使用便捷、动态更新，能满足教学要求。</w:t>
      </w:r>
    </w:p>
    <w:p w14:paraId="2BACC129">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（四）教学方法</w:t>
      </w:r>
    </w:p>
    <w:p w14:paraId="28E6318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1.</w:t>
      </w:r>
      <w:r>
        <w:rPr>
          <w:rFonts w:hint="eastAsia" w:ascii="宋体" w:hAnsi="宋体" w:eastAsia="宋体" w:cs="宋体"/>
          <w:b w:val="0"/>
          <w:bCs/>
          <w:szCs w:val="32"/>
        </w:rPr>
        <w:t>理实一体化教学</w:t>
      </w:r>
    </w:p>
    <w:p w14:paraId="5BDD4AD1">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将理论教学与实践教学有机融合，在专业课程教学中，借助实际案例、项目和实验实训，使学生在实践操作中理解理论知识，在理论学习中指导实践，提升学生综合应用能力与解决实际问题的能力。例如在新能源汽车“三电”系统课程教学中，先进行理论讲解，随后安排学生在实训设备上进行“三电”系统的安装、调试与故障排查，加深学生对知识的理解与掌握。</w:t>
      </w:r>
    </w:p>
    <w:p w14:paraId="3EF91E82">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kern w:val="2"/>
          <w:sz w:val="21"/>
          <w:szCs w:val="32"/>
          <w:lang w:val="en-US" w:eastAsia="zh-CN" w:bidi="ar-SA"/>
        </w:rPr>
        <w:t>2.</w:t>
      </w:r>
      <w:r>
        <w:rPr>
          <w:rFonts w:hint="eastAsia" w:ascii="宋体" w:hAnsi="宋体" w:eastAsia="宋体" w:cs="宋体"/>
          <w:b w:val="0"/>
          <w:bCs/>
          <w:szCs w:val="32"/>
        </w:rPr>
        <w:t>项目驱动教学</w:t>
      </w:r>
    </w:p>
    <w:p w14:paraId="66A7D267">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以实际项目为导向，将教学内容分解为若干项目任务，学生在完成项目过程中，自主学习、协作探究，培养团队合作能力、创新能力和项目管理能力。如组织学生参与新能源汽车维修项目，从故障诊断到维修方案制定与实施，全程由学生主导，教师给予指导与支持，提升学生职业能力。</w:t>
      </w:r>
    </w:p>
    <w:p w14:paraId="2F2AE52C">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kern w:val="2"/>
          <w:sz w:val="21"/>
          <w:szCs w:val="32"/>
          <w:lang w:val="en-US" w:eastAsia="zh-CN" w:bidi="ar-SA"/>
        </w:rPr>
        <w:t>3.</w:t>
      </w:r>
      <w:r>
        <w:rPr>
          <w:rFonts w:hint="eastAsia" w:ascii="宋体" w:hAnsi="宋体" w:eastAsia="宋体" w:cs="宋体"/>
          <w:b w:val="0"/>
          <w:bCs/>
          <w:szCs w:val="32"/>
        </w:rPr>
        <w:t>信息化教学手段应用</w:t>
      </w:r>
    </w:p>
    <w:p w14:paraId="7F765412">
      <w:pPr>
        <w:keepNext w:val="0"/>
        <w:keepLines w:val="0"/>
        <w:pageBreakBefore w:val="0"/>
        <w:widowControl w:val="0"/>
        <w:numPr>
          <w:ilvl w:val="0"/>
          <w:numId w:val="0"/>
        </w:numPr>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充分利用多媒体教学、在线课程平台、虚拟仿真软件等信息化教学手段，丰富教学内容呈现形式，激发学生学习兴趣。通过虚拟仿真软件，学生可在虚拟环境中进行新能源汽车复杂操作与故障模拟，降低实践成本与风险，同时提高学习效果与安全性。</w:t>
      </w:r>
    </w:p>
    <w:p w14:paraId="3F0997C1">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（五）学习评价</w:t>
      </w:r>
    </w:p>
    <w:p w14:paraId="09E1B30C">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1.</w:t>
      </w:r>
      <w:r>
        <w:rPr>
          <w:rFonts w:hint="eastAsia" w:ascii="宋体" w:hAnsi="宋体" w:eastAsia="宋体" w:cs="宋体"/>
          <w:b w:val="0"/>
          <w:bCs/>
          <w:szCs w:val="32"/>
        </w:rPr>
        <w:t>多元化评价主体</w:t>
      </w:r>
    </w:p>
    <w:p w14:paraId="3EE928A2">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构建由教师、学生自评、学生互评、企业兼职教师参与的多元化评价主体体系。教师评价关注学生知识掌握与技能应用；学生自评促进自我反思与自我提升；学生互评培养团队协作与沟通能力，同时从不同视角发现自身不足；企业兼职教师从行业实际需求出发，评价学生职业素养与实践能力，使评价结果更全面、客观、准确。</w:t>
      </w:r>
    </w:p>
    <w:p w14:paraId="0402E8A7">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2.</w:t>
      </w:r>
      <w:r>
        <w:rPr>
          <w:rFonts w:hint="eastAsia" w:ascii="宋体" w:hAnsi="宋体" w:eastAsia="宋体" w:cs="宋体"/>
          <w:b w:val="0"/>
          <w:bCs/>
          <w:szCs w:val="32"/>
        </w:rPr>
        <w:t>过程性评价与终结性评价结合</w:t>
      </w:r>
    </w:p>
    <w:p w14:paraId="2F5620FA">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过程性评价贯穿教学全过程，关注学生课堂表现、作业完成情况、项目参与度、实训操作等，及时反馈学生学习进展与问题。终结性评价在课程结束时进行，通过考试、作品展示、项目成果汇报等方式，综合评价学生知识与技能掌握程度。两者结合，全面评价学生学习过程与学习成果，促进学生持续发展。</w:t>
      </w:r>
    </w:p>
    <w:p w14:paraId="5891DAD2">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lang w:val="en-US" w:eastAsia="zh-CN"/>
        </w:rPr>
        <w:t>3.</w:t>
      </w:r>
      <w:r>
        <w:rPr>
          <w:rFonts w:hint="eastAsia" w:ascii="宋体" w:hAnsi="宋体" w:eastAsia="宋体" w:cs="宋体"/>
          <w:b w:val="0"/>
          <w:bCs/>
          <w:szCs w:val="32"/>
        </w:rPr>
        <w:t>评价指标全面性</w:t>
      </w:r>
    </w:p>
    <w:p w14:paraId="5E889A95">
      <w:pPr>
        <w:keepNext w:val="0"/>
        <w:keepLines w:val="0"/>
        <w:pageBreakBefore w:val="0"/>
        <w:widowControl w:val="0"/>
        <w:kinsoku/>
        <w:wordWrap/>
        <w:overflowPunct w:val="0"/>
        <w:topLinePunct w:val="0"/>
        <w:autoSpaceDE/>
        <w:autoSpaceDN/>
        <w:bidi w:val="0"/>
        <w:adjustRightInd w:val="0"/>
        <w:snapToGrid/>
        <w:spacing w:line="400" w:lineRule="exact"/>
        <w:ind w:left="0" w:right="0" w:firstLine="420" w:firstLineChars="200"/>
        <w:textAlignment w:val="auto"/>
        <w:outlineLvl w:val="0"/>
        <w:rPr>
          <w:rFonts w:hint="eastAsia" w:ascii="宋体" w:hAnsi="宋体" w:eastAsia="宋体" w:cs="宋体"/>
          <w:b w:val="0"/>
          <w:bCs/>
          <w:szCs w:val="32"/>
        </w:rPr>
      </w:pPr>
      <w:r>
        <w:rPr>
          <w:rFonts w:hint="eastAsia" w:ascii="宋体" w:hAnsi="宋体" w:eastAsia="宋体" w:cs="宋体"/>
          <w:b w:val="0"/>
          <w:bCs/>
          <w:szCs w:val="32"/>
        </w:rPr>
        <w:t>评价指标涵盖知识、技能、素质等多个维度。知识维度考查学生对新能源汽车技术专业理论知识的理解与记忆；技能维度评估学生操作技能、故障诊断与维修技能、项目实施能力等；素质维度关注学生职业道德、团队协作精神、创新能力、沟通能力等，确保培养的学生符合行业对高素质技术技能人才的要求。</w:t>
      </w:r>
    </w:p>
    <w:p w14:paraId="6F55B571">
      <w:pPr>
        <w:keepNext w:val="0"/>
        <w:keepLines w:val="0"/>
        <w:pageBreakBefore w:val="0"/>
        <w:widowControl w:val="0"/>
        <w:kinsoku/>
        <w:wordWrap/>
        <w:overflowPunct w:val="0"/>
        <w:topLinePunct w:val="0"/>
        <w:autoSpaceDE/>
        <w:autoSpaceDN/>
        <w:bidi w:val="0"/>
        <w:adjustRightInd w:val="0"/>
        <w:snapToGrid/>
        <w:spacing w:line="400" w:lineRule="exact"/>
        <w:ind w:left="0" w:right="0" w:firstLine="422" w:firstLineChars="200"/>
        <w:textAlignment w:val="auto"/>
        <w:outlineLvl w:val="0"/>
        <w:rPr>
          <w:rFonts w:hint="eastAsia" w:ascii="宋体" w:hAnsi="宋体" w:eastAsia="宋体" w:cs="宋体"/>
          <w:b/>
          <w:szCs w:val="32"/>
          <w:lang w:val="en-US" w:eastAsia="zh-CN"/>
        </w:rPr>
      </w:pPr>
      <w:r>
        <w:rPr>
          <w:rFonts w:hint="eastAsia" w:ascii="宋体" w:hAnsi="宋体" w:eastAsia="宋体" w:cs="宋体"/>
          <w:b/>
          <w:szCs w:val="32"/>
          <w:lang w:val="en-US" w:eastAsia="zh-CN"/>
        </w:rPr>
        <w:t>（六）质量管理</w:t>
      </w:r>
    </w:p>
    <w:p w14:paraId="5E01FB55">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1.教学质量监控体系</w:t>
      </w:r>
    </w:p>
    <w:p w14:paraId="4B468ECE">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建立完善的教学质量监控体系，涵盖教学计划制定与执行、课程教学、实践教学、考试考核等教学全过程。通过定期教学检查、听课评课、学生评教、教学督导等方式，及时发现教学中存在的问题，并采取有效措施加以改进，保障教学质量稳定提升。</w:t>
      </w:r>
    </w:p>
    <w:p w14:paraId="3AF40F51">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2.质量反馈与改进机制</w:t>
      </w:r>
    </w:p>
    <w:p w14:paraId="29BFBE64">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构建畅通的质量反馈渠道，学生、教师、企业等各方反馈意见能够及时收集整理。针对反馈问题，组织专业教师、教学管理人员、企业专家等进行分析研讨，制定切实可行的改进措施，并跟踪改进效果，形成教学质量持续改进的闭环管理，确保人才培养质量不断适应行业发展与市场需求。</w:t>
      </w:r>
    </w:p>
    <w:p w14:paraId="0796EAEA">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3.专业建设评估</w:t>
      </w:r>
    </w:p>
    <w:p w14:paraId="72EA98F4">
      <w:pPr>
        <w:keepNext w:val="0"/>
        <w:keepLines w:val="0"/>
        <w:pageBreakBefore w:val="0"/>
        <w:widowControl w:val="0"/>
        <w:kinsoku/>
        <w:wordWrap/>
        <w:topLinePunct w:val="0"/>
        <w:autoSpaceDE/>
        <w:autoSpaceDN/>
        <w:bidi w:val="0"/>
        <w:adjustRightInd w:val="0"/>
        <w:snapToGrid w:val="0"/>
        <w:spacing w:line="400" w:lineRule="exact"/>
        <w:ind w:left="0" w:right="0" w:firstLine="420" w:firstLineChars="200"/>
        <w:textAlignment w:val="auto"/>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定期开展专业建设评估，对照专业教学标准、行业发展需求和人才培养目标，对专业定位、课程体系、师资队伍、教学设施、教学质量等方面进行全面评估。依据评估结果，明确专业优势与不足，制定专业建设发展规划与改进措施，推动新能源汽车技术专业持续健康发展，打造特色专业品牌。</w:t>
      </w:r>
    </w:p>
    <w:p w14:paraId="506FA3DC">
      <w:pPr>
        <w:keepNext w:val="0"/>
        <w:keepLines w:val="0"/>
        <w:pageBreakBefore w:val="0"/>
        <w:widowControl w:val="0"/>
        <w:kinsoku/>
        <w:wordWrap/>
        <w:topLinePunct w:val="0"/>
        <w:autoSpaceDE/>
        <w:autoSpaceDN/>
        <w:bidi w:val="0"/>
        <w:adjustRightInd w:val="0"/>
        <w:snapToGrid w:val="0"/>
        <w:spacing w:line="400" w:lineRule="exact"/>
        <w:ind w:left="0" w:right="0" w:firstLine="480" w:firstLineChars="200"/>
        <w:textAlignment w:val="auto"/>
        <w:rPr>
          <w:rFonts w:ascii="黑体" w:hAnsi="黑体" w:eastAsia="黑体" w:cs="黑体"/>
          <w:bCs/>
          <w:sz w:val="24"/>
        </w:rPr>
      </w:pPr>
      <w:r>
        <w:rPr>
          <w:rFonts w:hint="eastAsia" w:ascii="黑体" w:hAnsi="黑体" w:eastAsia="黑体" w:cs="黑体"/>
          <w:bCs/>
          <w:sz w:val="24"/>
          <w:lang w:val="en-US" w:eastAsia="zh-CN"/>
        </w:rPr>
        <w:t>九</w:t>
      </w:r>
      <w:r>
        <w:rPr>
          <w:rFonts w:hint="eastAsia" w:ascii="黑体" w:hAnsi="黑体" w:eastAsia="黑体" w:cs="黑体"/>
          <w:bCs/>
          <w:sz w:val="24"/>
        </w:rPr>
        <w:t>、毕业要求</w:t>
      </w:r>
    </w:p>
    <w:p w14:paraId="70DC7EBC">
      <w:pPr>
        <w:pStyle w:val="16"/>
        <w:keepNext w:val="0"/>
        <w:keepLines w:val="0"/>
        <w:pageBreakBefore w:val="0"/>
        <w:widowControl w:val="0"/>
        <w:kinsoku/>
        <w:wordWrap/>
        <w:topLinePunct w:val="0"/>
        <w:autoSpaceDE/>
        <w:autoSpaceDN/>
        <w:bidi w:val="0"/>
        <w:spacing w:before="0" w:after="0" w:line="400" w:lineRule="exact"/>
        <w:ind w:left="0" w:right="0" w:firstLine="420" w:firstLineChars="200"/>
        <w:textAlignment w:val="auto"/>
        <w:rPr>
          <w:highlight w:val="none"/>
        </w:rPr>
      </w:pPr>
      <w:r>
        <w:rPr>
          <w:rFonts w:hint="eastAsia"/>
          <w:highlight w:val="none"/>
        </w:rPr>
        <w:t>1.德育审核合格；</w:t>
      </w:r>
    </w:p>
    <w:p w14:paraId="1AF4DB6A">
      <w:pPr>
        <w:pStyle w:val="16"/>
        <w:keepNext w:val="0"/>
        <w:keepLines w:val="0"/>
        <w:pageBreakBefore w:val="0"/>
        <w:widowControl w:val="0"/>
        <w:kinsoku/>
        <w:wordWrap/>
        <w:topLinePunct w:val="0"/>
        <w:autoSpaceDE/>
        <w:autoSpaceDN/>
        <w:bidi w:val="0"/>
        <w:spacing w:before="0" w:after="0" w:line="400" w:lineRule="exact"/>
        <w:ind w:left="0" w:right="0" w:firstLine="420" w:firstLineChars="200"/>
        <w:textAlignment w:val="auto"/>
        <w:rPr>
          <w:rFonts w:hint="eastAsia" w:eastAsiaTheme="minorEastAsia"/>
          <w:highlight w:val="none"/>
          <w:lang w:eastAsia="zh-CN"/>
        </w:rPr>
      </w:pPr>
      <w:r>
        <w:rPr>
          <w:rFonts w:hint="eastAsia"/>
          <w:highlight w:val="none"/>
        </w:rPr>
        <w:t>2.《国家学生体制健康标准》达标</w:t>
      </w:r>
      <w:r>
        <w:rPr>
          <w:rFonts w:hint="eastAsia"/>
          <w:highlight w:val="none"/>
          <w:lang w:eastAsia="zh-CN"/>
        </w:rPr>
        <w:t>；</w:t>
      </w:r>
    </w:p>
    <w:p w14:paraId="48BED652">
      <w:pPr>
        <w:pStyle w:val="16"/>
        <w:keepNext w:val="0"/>
        <w:keepLines w:val="0"/>
        <w:pageBreakBefore w:val="0"/>
        <w:widowControl w:val="0"/>
        <w:kinsoku/>
        <w:wordWrap/>
        <w:topLinePunct w:val="0"/>
        <w:autoSpaceDE/>
        <w:autoSpaceDN/>
        <w:bidi w:val="0"/>
        <w:spacing w:before="0" w:after="0" w:line="400" w:lineRule="exact"/>
        <w:ind w:left="0" w:right="0" w:firstLine="420" w:firstLineChars="200"/>
        <w:textAlignment w:val="auto"/>
        <w:rPr>
          <w:rFonts w:hint="eastAsia" w:eastAsiaTheme="minorEastAsia"/>
          <w:highlight w:val="none"/>
          <w:lang w:eastAsia="zh-CN"/>
        </w:rPr>
      </w:pPr>
      <w:r>
        <w:rPr>
          <w:rFonts w:hint="eastAsia"/>
          <w:highlight w:val="none"/>
        </w:rPr>
        <w:t>3.本专业必须修满规定的</w:t>
      </w:r>
      <w:r>
        <w:rPr>
          <w:rFonts w:hint="eastAsia"/>
          <w:highlight w:val="none"/>
          <w:lang w:val="en-US" w:eastAsia="zh-CN"/>
        </w:rPr>
        <w:t>130</w:t>
      </w:r>
      <w:r>
        <w:rPr>
          <w:rFonts w:hint="eastAsia"/>
          <w:highlight w:val="none"/>
        </w:rPr>
        <w:t>学分</w:t>
      </w:r>
      <w:r>
        <w:rPr>
          <w:rFonts w:hint="eastAsia"/>
          <w:highlight w:val="none"/>
          <w:lang w:eastAsia="zh-CN"/>
        </w:rPr>
        <w:t>；</w:t>
      </w:r>
    </w:p>
    <w:p w14:paraId="4AE6EDAA">
      <w:pPr>
        <w:keepNext w:val="0"/>
        <w:keepLines w:val="0"/>
        <w:pageBreakBefore w:val="0"/>
        <w:widowControl w:val="0"/>
        <w:kinsoku/>
        <w:wordWrap/>
        <w:topLinePunct w:val="0"/>
        <w:autoSpaceDE/>
        <w:autoSpaceDN/>
        <w:bidi w:val="0"/>
        <w:spacing w:line="400" w:lineRule="exact"/>
        <w:ind w:left="0" w:right="0" w:firstLine="420" w:firstLineChars="200"/>
        <w:jc w:val="left"/>
        <w:textAlignment w:val="auto"/>
        <w:rPr>
          <w:rFonts w:hint="eastAsia" w:ascii="楷体_GB2312" w:eastAsia="楷体_GB2312"/>
        </w:rPr>
      </w:pPr>
      <w:r>
        <w:rPr>
          <w:rFonts w:hint="eastAsia"/>
          <w:highlight w:val="none"/>
        </w:rPr>
        <w:t>4.完成素质拓展最低学分要求（8学分）</w:t>
      </w:r>
      <w:r>
        <w:rPr>
          <w:rFonts w:hint="eastAsia"/>
          <w:highlight w:val="none"/>
          <w:lang w:eastAsia="zh-CN"/>
        </w:rPr>
        <w:t>。</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FC0DC3-1790-4CF1-B092-730693DE214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525A7737-85E6-4DDC-AB57-449437BBC0A5}"/>
  </w:font>
  <w:font w:name="方正小标宋简体">
    <w:panose1 w:val="03000509000000000000"/>
    <w:charset w:val="86"/>
    <w:family w:val="script"/>
    <w:pitch w:val="default"/>
    <w:sig w:usb0="00000001" w:usb1="080E0000" w:usb2="00000000" w:usb3="00000000" w:csb0="00040000" w:csb1="00000000"/>
    <w:embedRegular r:id="rId3" w:fontKey="{A807A08F-3027-4232-9F79-C89CF7C679BE}"/>
  </w:font>
  <w:font w:name="楷体_GB2312">
    <w:panose1 w:val="02010609030101010101"/>
    <w:charset w:val="86"/>
    <w:family w:val="modern"/>
    <w:pitch w:val="default"/>
    <w:sig w:usb0="00000001" w:usb1="080E0000" w:usb2="00000000" w:usb3="00000000" w:csb0="00040000" w:csb1="00000000"/>
    <w:embedRegular r:id="rId4" w:fontKey="{D290E3DC-A7A0-4DCE-A78A-3F5DFD312DE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B03B9B">
    <w:pPr>
      <w:wordWrap w:val="0"/>
      <w:adjustRightInd w:val="0"/>
      <w:snapToGrid w:val="0"/>
      <w:jc w:val="left"/>
      <w:rPr>
        <w:rFonts w:ascii="宋体" w:hAnsi="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7DD1789">
                          <w:pPr>
                            <w:pStyle w:val="9"/>
                          </w:pPr>
                          <w:r>
                            <w:fldChar w:fldCharType="begin"/>
                          </w:r>
                          <w:r>
                            <w:instrText xml:space="preserve"> PAGE  \* MERGEFORMAT </w:instrText>
                          </w:r>
                          <w:r>
                            <w:fldChar w:fldCharType="separate"/>
                          </w:r>
                          <w:r>
                            <w:t>20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NJWO7QAAAABQEAAA8AAAAAAAAAAQAgAAAAIgAAAGRycy9kb3ducmV2Lnht&#10;bFBLAQIUABQAAAAIAIdO4kCKUmwvOgIAAHEEAAAOAAAAAAAAAAEAIAAAAB8BAABkcnMvZTJvRG9j&#10;LnhtbFBLBQYAAAAABgAGAFkBAADLBQAAAAA=&#10;">
              <v:fill on="f" focussize="0,0"/>
              <v:stroke on="f" weight="0.5pt"/>
              <v:imagedata o:title=""/>
              <o:lock v:ext="edit" aspectratio="f"/>
              <v:textbox inset="0mm,0mm,0mm,0mm" style="mso-fit-shape-to-text:t;">
                <w:txbxContent>
                  <w:p w14:paraId="57DD1789">
                    <w:pPr>
                      <w:pStyle w:val="9"/>
                    </w:pPr>
                    <w:r>
                      <w:fldChar w:fldCharType="begin"/>
                    </w:r>
                    <w:r>
                      <w:instrText xml:space="preserve"> PAGE  \* MERGEFORMAT </w:instrText>
                    </w:r>
                    <w:r>
                      <w:fldChar w:fldCharType="separate"/>
                    </w:r>
                    <w: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0B2F16"/>
    <w:multiLevelType w:val="singleLevel"/>
    <w:tmpl w:val="870B2F16"/>
    <w:lvl w:ilvl="0" w:tentative="0">
      <w:start w:val="1"/>
      <w:numFmt w:val="decimal"/>
      <w:suff w:val="nothing"/>
      <w:lvlText w:val="（%1）"/>
      <w:lvlJc w:val="left"/>
    </w:lvl>
  </w:abstractNum>
  <w:abstractNum w:abstractNumId="1">
    <w:nsid w:val="B5C9F3B3"/>
    <w:multiLevelType w:val="multilevel"/>
    <w:tmpl w:val="B5C9F3B3"/>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C8AB260F"/>
    <w:multiLevelType w:val="singleLevel"/>
    <w:tmpl w:val="C8AB260F"/>
    <w:lvl w:ilvl="0" w:tentative="0">
      <w:start w:val="1"/>
      <w:numFmt w:val="decimal"/>
      <w:suff w:val="nothing"/>
      <w:lvlText w:val="（%1）"/>
      <w:lvlJc w:val="left"/>
    </w:lvl>
  </w:abstractNum>
  <w:abstractNum w:abstractNumId="3">
    <w:nsid w:val="0C310BA0"/>
    <w:multiLevelType w:val="singleLevel"/>
    <w:tmpl w:val="0C310BA0"/>
    <w:lvl w:ilvl="0" w:tentative="0">
      <w:start w:val="1"/>
      <w:numFmt w:val="decimal"/>
      <w:suff w:val="nothing"/>
      <w:lvlText w:val="（%1）"/>
      <w:lvlJc w:val="left"/>
    </w:lvl>
  </w:abstractNum>
  <w:abstractNum w:abstractNumId="4">
    <w:nsid w:val="10A17530"/>
    <w:multiLevelType w:val="multilevel"/>
    <w:tmpl w:val="10A17530"/>
    <w:lvl w:ilvl="0" w:tentative="0">
      <w:start w:val="1"/>
      <w:numFmt w:val="decimal"/>
      <w:suff w:val="nothing"/>
      <w:lvlText w:val="（%1）"/>
      <w:lvlJc w:val="left"/>
      <w:pPr>
        <w:ind w:left="-2"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5">
    <w:nsid w:val="35FC8310"/>
    <w:multiLevelType w:val="multilevel"/>
    <w:tmpl w:val="35FC8310"/>
    <w:lvl w:ilvl="0" w:tentative="0">
      <w:start w:val="1"/>
      <w:numFmt w:val="decimal"/>
      <w:suff w:val="nothing"/>
      <w:lvlText w:val="（%1）"/>
      <w:lvlJc w:val="left"/>
      <w:pPr>
        <w:ind w:left="0" w:firstLine="0"/>
      </w:pPr>
      <w:rPr>
        <w:rFonts w:hint="default" w:ascii="Times New Roman" w:hAnsi="Times New Roman" w:cs="Times New Roman"/>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3799EA72"/>
    <w:multiLevelType w:val="singleLevel"/>
    <w:tmpl w:val="3799EA72"/>
    <w:lvl w:ilvl="0" w:tentative="0">
      <w:start w:val="3"/>
      <w:numFmt w:val="chineseCounting"/>
      <w:suff w:val="nothing"/>
      <w:lvlText w:val="（%1）"/>
      <w:lvlJc w:val="left"/>
      <w:rPr>
        <w:rFonts w:hint="eastAsia"/>
      </w:rPr>
    </w:lvl>
  </w:abstractNum>
  <w:abstractNum w:abstractNumId="7">
    <w:nsid w:val="6071D136"/>
    <w:multiLevelType w:val="singleLevel"/>
    <w:tmpl w:val="6071D136"/>
    <w:lvl w:ilvl="0" w:tentative="0">
      <w:start w:val="1"/>
      <w:numFmt w:val="decimal"/>
      <w:suff w:val="nothing"/>
      <w:lvlText w:val="（%1）"/>
      <w:lvlJc w:val="left"/>
    </w:lvl>
  </w:abstractNum>
  <w:abstractNum w:abstractNumId="8">
    <w:nsid w:val="62DD39F5"/>
    <w:multiLevelType w:val="singleLevel"/>
    <w:tmpl w:val="62DD39F5"/>
    <w:lvl w:ilvl="0" w:tentative="0">
      <w:start w:val="1"/>
      <w:numFmt w:val="decimal"/>
      <w:suff w:val="nothing"/>
      <w:lvlText w:val="（%1）"/>
      <w:lvlJc w:val="left"/>
    </w:lvl>
  </w:abstractNum>
  <w:abstractNum w:abstractNumId="9">
    <w:nsid w:val="6649B576"/>
    <w:multiLevelType w:val="singleLevel"/>
    <w:tmpl w:val="6649B576"/>
    <w:lvl w:ilvl="0" w:tentative="0">
      <w:start w:val="1"/>
      <w:numFmt w:val="decimal"/>
      <w:suff w:val="nothing"/>
      <w:lvlText w:val="（%1）"/>
      <w:lvlJc w:val="left"/>
    </w:lvl>
  </w:abstractNum>
  <w:abstractNum w:abstractNumId="10">
    <w:nsid w:val="7134C473"/>
    <w:multiLevelType w:val="singleLevel"/>
    <w:tmpl w:val="7134C473"/>
    <w:lvl w:ilvl="0" w:tentative="0">
      <w:start w:val="1"/>
      <w:numFmt w:val="decimal"/>
      <w:suff w:val="nothing"/>
      <w:lvlText w:val="（%1）"/>
      <w:lvlJc w:val="left"/>
    </w:lvl>
  </w:abstractNum>
  <w:abstractNum w:abstractNumId="11">
    <w:nsid w:val="792A70F3"/>
    <w:multiLevelType w:val="singleLevel"/>
    <w:tmpl w:val="792A70F3"/>
    <w:lvl w:ilvl="0" w:tentative="0">
      <w:start w:val="1"/>
      <w:numFmt w:val="decimal"/>
      <w:suff w:val="nothing"/>
      <w:lvlText w:val="（%1）"/>
      <w:lvlJc w:val="left"/>
    </w:lvl>
  </w:abstractNum>
  <w:num w:numId="1">
    <w:abstractNumId w:val="4"/>
  </w:num>
  <w:num w:numId="2">
    <w:abstractNumId w:val="1"/>
  </w:num>
  <w:num w:numId="3">
    <w:abstractNumId w:val="5"/>
  </w:num>
  <w:num w:numId="4">
    <w:abstractNumId w:val="2"/>
  </w:num>
  <w:num w:numId="5">
    <w:abstractNumId w:val="10"/>
  </w:num>
  <w:num w:numId="6">
    <w:abstractNumId w:val="3"/>
  </w:num>
  <w:num w:numId="7">
    <w:abstractNumId w:val="7"/>
  </w:num>
  <w:num w:numId="8">
    <w:abstractNumId w:val="11"/>
  </w:num>
  <w:num w:numId="9">
    <w:abstractNumId w:val="8"/>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ZTdhOTU5MDJiNGNjNDZhZDljZjBmZTIwNzQyZDMifQ=="/>
  </w:docVars>
  <w:rsids>
    <w:rsidRoot w:val="001C538A"/>
    <w:rsid w:val="00003571"/>
    <w:rsid w:val="00011FD4"/>
    <w:rsid w:val="000454F3"/>
    <w:rsid w:val="00057167"/>
    <w:rsid w:val="0007493F"/>
    <w:rsid w:val="00075A14"/>
    <w:rsid w:val="000A21F5"/>
    <w:rsid w:val="000B327F"/>
    <w:rsid w:val="000D6A92"/>
    <w:rsid w:val="000F73F1"/>
    <w:rsid w:val="00105F30"/>
    <w:rsid w:val="00106F18"/>
    <w:rsid w:val="00113AEA"/>
    <w:rsid w:val="00123067"/>
    <w:rsid w:val="00155A0F"/>
    <w:rsid w:val="00185493"/>
    <w:rsid w:val="00190C80"/>
    <w:rsid w:val="001C3BD6"/>
    <w:rsid w:val="001C538A"/>
    <w:rsid w:val="002329F4"/>
    <w:rsid w:val="002377B6"/>
    <w:rsid w:val="0025571B"/>
    <w:rsid w:val="00274CF8"/>
    <w:rsid w:val="002E6413"/>
    <w:rsid w:val="002E6D69"/>
    <w:rsid w:val="00303DDB"/>
    <w:rsid w:val="0031601E"/>
    <w:rsid w:val="00317799"/>
    <w:rsid w:val="00355FCE"/>
    <w:rsid w:val="0035732C"/>
    <w:rsid w:val="00392213"/>
    <w:rsid w:val="003C4CCF"/>
    <w:rsid w:val="003D1732"/>
    <w:rsid w:val="00441BB4"/>
    <w:rsid w:val="004732DC"/>
    <w:rsid w:val="0048092D"/>
    <w:rsid w:val="00485497"/>
    <w:rsid w:val="004A3F90"/>
    <w:rsid w:val="004B1FEC"/>
    <w:rsid w:val="004F20C3"/>
    <w:rsid w:val="00501943"/>
    <w:rsid w:val="005242FD"/>
    <w:rsid w:val="00532EE0"/>
    <w:rsid w:val="00580299"/>
    <w:rsid w:val="00595702"/>
    <w:rsid w:val="00600600"/>
    <w:rsid w:val="00610875"/>
    <w:rsid w:val="00631291"/>
    <w:rsid w:val="006334FF"/>
    <w:rsid w:val="0063772D"/>
    <w:rsid w:val="0066286F"/>
    <w:rsid w:val="0067014B"/>
    <w:rsid w:val="00675D56"/>
    <w:rsid w:val="00676753"/>
    <w:rsid w:val="00680F04"/>
    <w:rsid w:val="006B7853"/>
    <w:rsid w:val="006E6706"/>
    <w:rsid w:val="006F2F10"/>
    <w:rsid w:val="006F3CF7"/>
    <w:rsid w:val="007020A9"/>
    <w:rsid w:val="00727663"/>
    <w:rsid w:val="00734C01"/>
    <w:rsid w:val="0077638C"/>
    <w:rsid w:val="00781FB0"/>
    <w:rsid w:val="007B174A"/>
    <w:rsid w:val="007B7180"/>
    <w:rsid w:val="007D67D3"/>
    <w:rsid w:val="0085342D"/>
    <w:rsid w:val="00867701"/>
    <w:rsid w:val="00876E5B"/>
    <w:rsid w:val="008C37EB"/>
    <w:rsid w:val="008E5837"/>
    <w:rsid w:val="008F7A9A"/>
    <w:rsid w:val="00923BD3"/>
    <w:rsid w:val="00971253"/>
    <w:rsid w:val="009B1613"/>
    <w:rsid w:val="009C75DD"/>
    <w:rsid w:val="009E0A3E"/>
    <w:rsid w:val="009F63D0"/>
    <w:rsid w:val="00A66D1B"/>
    <w:rsid w:val="00A77B72"/>
    <w:rsid w:val="00A87D99"/>
    <w:rsid w:val="00AB58D9"/>
    <w:rsid w:val="00AC2DC1"/>
    <w:rsid w:val="00AC3B7F"/>
    <w:rsid w:val="00AE555E"/>
    <w:rsid w:val="00B3600B"/>
    <w:rsid w:val="00B7284F"/>
    <w:rsid w:val="00B8523E"/>
    <w:rsid w:val="00B96E7D"/>
    <w:rsid w:val="00BA00D8"/>
    <w:rsid w:val="00BB0176"/>
    <w:rsid w:val="00BC625E"/>
    <w:rsid w:val="00BF5C77"/>
    <w:rsid w:val="00C01DCD"/>
    <w:rsid w:val="00C25880"/>
    <w:rsid w:val="00C413D0"/>
    <w:rsid w:val="00C440C3"/>
    <w:rsid w:val="00C7356C"/>
    <w:rsid w:val="00CD434C"/>
    <w:rsid w:val="00CF6101"/>
    <w:rsid w:val="00D034BC"/>
    <w:rsid w:val="00D14334"/>
    <w:rsid w:val="00D179D0"/>
    <w:rsid w:val="00D33B4C"/>
    <w:rsid w:val="00D65295"/>
    <w:rsid w:val="00D73266"/>
    <w:rsid w:val="00DB2CB4"/>
    <w:rsid w:val="00DE3972"/>
    <w:rsid w:val="00DF7FC3"/>
    <w:rsid w:val="00E14E19"/>
    <w:rsid w:val="00E62779"/>
    <w:rsid w:val="00E801E8"/>
    <w:rsid w:val="00EC0DA4"/>
    <w:rsid w:val="00F17EF7"/>
    <w:rsid w:val="00F84084"/>
    <w:rsid w:val="00FB0F85"/>
    <w:rsid w:val="01574D30"/>
    <w:rsid w:val="01D4545D"/>
    <w:rsid w:val="01EB2A82"/>
    <w:rsid w:val="024E7C57"/>
    <w:rsid w:val="026F72FD"/>
    <w:rsid w:val="02723524"/>
    <w:rsid w:val="02AD1871"/>
    <w:rsid w:val="03040893"/>
    <w:rsid w:val="04CA514B"/>
    <w:rsid w:val="051554AC"/>
    <w:rsid w:val="055C4780"/>
    <w:rsid w:val="05721780"/>
    <w:rsid w:val="059172E0"/>
    <w:rsid w:val="05D85790"/>
    <w:rsid w:val="05ED3AF6"/>
    <w:rsid w:val="06462713"/>
    <w:rsid w:val="06C52CB7"/>
    <w:rsid w:val="07504EC1"/>
    <w:rsid w:val="078235DA"/>
    <w:rsid w:val="08C23B9D"/>
    <w:rsid w:val="0A4B34C9"/>
    <w:rsid w:val="0A731438"/>
    <w:rsid w:val="0AE14122"/>
    <w:rsid w:val="0B275F39"/>
    <w:rsid w:val="0C9969FF"/>
    <w:rsid w:val="0D0E11ED"/>
    <w:rsid w:val="0D453D34"/>
    <w:rsid w:val="0DA91536"/>
    <w:rsid w:val="0EC8358F"/>
    <w:rsid w:val="0F113D34"/>
    <w:rsid w:val="0F403A6D"/>
    <w:rsid w:val="0FC24482"/>
    <w:rsid w:val="10E37E55"/>
    <w:rsid w:val="116E48C1"/>
    <w:rsid w:val="11F64058"/>
    <w:rsid w:val="125C08EE"/>
    <w:rsid w:val="12EB6199"/>
    <w:rsid w:val="138543E7"/>
    <w:rsid w:val="13C7650B"/>
    <w:rsid w:val="14397409"/>
    <w:rsid w:val="146C0FAF"/>
    <w:rsid w:val="14B52807"/>
    <w:rsid w:val="156A53A0"/>
    <w:rsid w:val="166069FF"/>
    <w:rsid w:val="16AD3796"/>
    <w:rsid w:val="188A1794"/>
    <w:rsid w:val="18B35CD6"/>
    <w:rsid w:val="18BF2130"/>
    <w:rsid w:val="193205BB"/>
    <w:rsid w:val="1990114D"/>
    <w:rsid w:val="1AA81B03"/>
    <w:rsid w:val="1B486183"/>
    <w:rsid w:val="1BC577D4"/>
    <w:rsid w:val="1BDB5DD5"/>
    <w:rsid w:val="1C874A89"/>
    <w:rsid w:val="1D4D1B4A"/>
    <w:rsid w:val="1DD60F66"/>
    <w:rsid w:val="1E327BAC"/>
    <w:rsid w:val="20216F7E"/>
    <w:rsid w:val="202C081A"/>
    <w:rsid w:val="2067586A"/>
    <w:rsid w:val="20D02EA3"/>
    <w:rsid w:val="21431E03"/>
    <w:rsid w:val="21A32365"/>
    <w:rsid w:val="21D21447"/>
    <w:rsid w:val="23611195"/>
    <w:rsid w:val="23E13A4F"/>
    <w:rsid w:val="24CC3685"/>
    <w:rsid w:val="24D942F0"/>
    <w:rsid w:val="261F1754"/>
    <w:rsid w:val="271F2F2B"/>
    <w:rsid w:val="273B6B97"/>
    <w:rsid w:val="2751016E"/>
    <w:rsid w:val="280C53AB"/>
    <w:rsid w:val="292233EE"/>
    <w:rsid w:val="298B4B63"/>
    <w:rsid w:val="2A1852B4"/>
    <w:rsid w:val="2AAE58D7"/>
    <w:rsid w:val="2AF43C3D"/>
    <w:rsid w:val="2B2F0BBA"/>
    <w:rsid w:val="2BFC2739"/>
    <w:rsid w:val="2CA7AAEA"/>
    <w:rsid w:val="2CB511F3"/>
    <w:rsid w:val="2CBC2CC9"/>
    <w:rsid w:val="2D2F0F51"/>
    <w:rsid w:val="2D3738A9"/>
    <w:rsid w:val="2D7F352C"/>
    <w:rsid w:val="2DB33930"/>
    <w:rsid w:val="2E4E5407"/>
    <w:rsid w:val="2E8F4DE2"/>
    <w:rsid w:val="2FDE173D"/>
    <w:rsid w:val="2FED84D1"/>
    <w:rsid w:val="301639A1"/>
    <w:rsid w:val="30CC6AB7"/>
    <w:rsid w:val="31D67BED"/>
    <w:rsid w:val="322F72FD"/>
    <w:rsid w:val="32AD25E2"/>
    <w:rsid w:val="32BD026D"/>
    <w:rsid w:val="33076B3D"/>
    <w:rsid w:val="33127D77"/>
    <w:rsid w:val="33A15FD9"/>
    <w:rsid w:val="343562DC"/>
    <w:rsid w:val="35464CB1"/>
    <w:rsid w:val="35FFD4E0"/>
    <w:rsid w:val="36634910"/>
    <w:rsid w:val="36850339"/>
    <w:rsid w:val="36CF1672"/>
    <w:rsid w:val="377354F1"/>
    <w:rsid w:val="379750DA"/>
    <w:rsid w:val="379E3C61"/>
    <w:rsid w:val="37BB6CF2"/>
    <w:rsid w:val="37FEFCFD"/>
    <w:rsid w:val="38D04F99"/>
    <w:rsid w:val="38DD88F2"/>
    <w:rsid w:val="39071960"/>
    <w:rsid w:val="399D23B9"/>
    <w:rsid w:val="3ACB172E"/>
    <w:rsid w:val="3AF91403"/>
    <w:rsid w:val="3C9B3F0D"/>
    <w:rsid w:val="3CC7241D"/>
    <w:rsid w:val="3CE4322C"/>
    <w:rsid w:val="3D51281E"/>
    <w:rsid w:val="3D8F3346"/>
    <w:rsid w:val="3DC44220"/>
    <w:rsid w:val="3E4F1778"/>
    <w:rsid w:val="3F9D2485"/>
    <w:rsid w:val="3FAF46F6"/>
    <w:rsid w:val="40214D11"/>
    <w:rsid w:val="4030351A"/>
    <w:rsid w:val="409273D5"/>
    <w:rsid w:val="41D212FB"/>
    <w:rsid w:val="41EB0D88"/>
    <w:rsid w:val="43C64079"/>
    <w:rsid w:val="44BA1A1E"/>
    <w:rsid w:val="44EE71C4"/>
    <w:rsid w:val="45107968"/>
    <w:rsid w:val="45161501"/>
    <w:rsid w:val="453872A6"/>
    <w:rsid w:val="45E306D3"/>
    <w:rsid w:val="463F6FDB"/>
    <w:rsid w:val="4664063C"/>
    <w:rsid w:val="474541F5"/>
    <w:rsid w:val="47974345"/>
    <w:rsid w:val="47F57F08"/>
    <w:rsid w:val="4A0749B4"/>
    <w:rsid w:val="4A984F54"/>
    <w:rsid w:val="4BDF0DFA"/>
    <w:rsid w:val="4BFF31F6"/>
    <w:rsid w:val="4CB501F8"/>
    <w:rsid w:val="4CB90019"/>
    <w:rsid w:val="4E9B4950"/>
    <w:rsid w:val="4EB0662F"/>
    <w:rsid w:val="4ED41501"/>
    <w:rsid w:val="4EF66ADA"/>
    <w:rsid w:val="4F344AEC"/>
    <w:rsid w:val="4F473A81"/>
    <w:rsid w:val="4F781E4D"/>
    <w:rsid w:val="4F89081E"/>
    <w:rsid w:val="4FB7D5DB"/>
    <w:rsid w:val="4FD601FF"/>
    <w:rsid w:val="50257CE3"/>
    <w:rsid w:val="5064564E"/>
    <w:rsid w:val="50D37CC2"/>
    <w:rsid w:val="51707DAD"/>
    <w:rsid w:val="51BE1C74"/>
    <w:rsid w:val="52525626"/>
    <w:rsid w:val="527B23BF"/>
    <w:rsid w:val="529D2271"/>
    <w:rsid w:val="52B3100D"/>
    <w:rsid w:val="53223354"/>
    <w:rsid w:val="53232056"/>
    <w:rsid w:val="53701F20"/>
    <w:rsid w:val="53AC3F77"/>
    <w:rsid w:val="53AE0CBF"/>
    <w:rsid w:val="53DD8C24"/>
    <w:rsid w:val="541576A6"/>
    <w:rsid w:val="5495378B"/>
    <w:rsid w:val="560A5808"/>
    <w:rsid w:val="56132307"/>
    <w:rsid w:val="56C02EA4"/>
    <w:rsid w:val="587A5F16"/>
    <w:rsid w:val="59872A02"/>
    <w:rsid w:val="59A10231"/>
    <w:rsid w:val="59AB168C"/>
    <w:rsid w:val="5A026F22"/>
    <w:rsid w:val="5A2F6DBD"/>
    <w:rsid w:val="5C3C2997"/>
    <w:rsid w:val="5C4A1C0B"/>
    <w:rsid w:val="5C7D31D8"/>
    <w:rsid w:val="5CB4694A"/>
    <w:rsid w:val="5D520D2C"/>
    <w:rsid w:val="5DFD4487"/>
    <w:rsid w:val="5E0F14DE"/>
    <w:rsid w:val="5EAD52D1"/>
    <w:rsid w:val="5EE137D2"/>
    <w:rsid w:val="5EEA25AC"/>
    <w:rsid w:val="5F0E0117"/>
    <w:rsid w:val="5F3B6A53"/>
    <w:rsid w:val="5FC6353D"/>
    <w:rsid w:val="60737012"/>
    <w:rsid w:val="615564D1"/>
    <w:rsid w:val="6189617B"/>
    <w:rsid w:val="625B2BEE"/>
    <w:rsid w:val="631B36A0"/>
    <w:rsid w:val="6412054D"/>
    <w:rsid w:val="64264155"/>
    <w:rsid w:val="646F31FC"/>
    <w:rsid w:val="651C3631"/>
    <w:rsid w:val="6578278E"/>
    <w:rsid w:val="659A4F2D"/>
    <w:rsid w:val="66157FDD"/>
    <w:rsid w:val="66436A27"/>
    <w:rsid w:val="666A7BEF"/>
    <w:rsid w:val="666E5BC1"/>
    <w:rsid w:val="669F5B4D"/>
    <w:rsid w:val="66E31D63"/>
    <w:rsid w:val="676DC737"/>
    <w:rsid w:val="68706054"/>
    <w:rsid w:val="696C260A"/>
    <w:rsid w:val="6B085760"/>
    <w:rsid w:val="6BB64010"/>
    <w:rsid w:val="6C3A7B2A"/>
    <w:rsid w:val="6CDF5C31"/>
    <w:rsid w:val="6D02479A"/>
    <w:rsid w:val="6DB62488"/>
    <w:rsid w:val="6E251B34"/>
    <w:rsid w:val="6EDB3305"/>
    <w:rsid w:val="6F3DB4CE"/>
    <w:rsid w:val="6F6705CF"/>
    <w:rsid w:val="6FB42178"/>
    <w:rsid w:val="6FB7F4F9"/>
    <w:rsid w:val="6FBF6F23"/>
    <w:rsid w:val="700D146B"/>
    <w:rsid w:val="70381498"/>
    <w:rsid w:val="70655672"/>
    <w:rsid w:val="713C0BF3"/>
    <w:rsid w:val="72015680"/>
    <w:rsid w:val="725E3F86"/>
    <w:rsid w:val="729C5A44"/>
    <w:rsid w:val="734E7F61"/>
    <w:rsid w:val="74082F2F"/>
    <w:rsid w:val="747C6A7A"/>
    <w:rsid w:val="74CD18E7"/>
    <w:rsid w:val="757500DB"/>
    <w:rsid w:val="757A1C0A"/>
    <w:rsid w:val="757C028F"/>
    <w:rsid w:val="768D2711"/>
    <w:rsid w:val="76EA1012"/>
    <w:rsid w:val="77057BE1"/>
    <w:rsid w:val="77455749"/>
    <w:rsid w:val="777052C7"/>
    <w:rsid w:val="77F74DAD"/>
    <w:rsid w:val="78DD5598"/>
    <w:rsid w:val="78FF02A8"/>
    <w:rsid w:val="79075EAB"/>
    <w:rsid w:val="79701CA2"/>
    <w:rsid w:val="79CD68EE"/>
    <w:rsid w:val="79E73E73"/>
    <w:rsid w:val="7A087498"/>
    <w:rsid w:val="7A3D28DE"/>
    <w:rsid w:val="7A7C01D3"/>
    <w:rsid w:val="7AF982B8"/>
    <w:rsid w:val="7B3E36DA"/>
    <w:rsid w:val="7B580C7C"/>
    <w:rsid w:val="7B642AAB"/>
    <w:rsid w:val="7BA67BFD"/>
    <w:rsid w:val="7BBF2A6D"/>
    <w:rsid w:val="7BFD0AB5"/>
    <w:rsid w:val="7BFF22F4"/>
    <w:rsid w:val="7C0C6ACE"/>
    <w:rsid w:val="7C3002FE"/>
    <w:rsid w:val="7C3849F3"/>
    <w:rsid w:val="7CE60DA1"/>
    <w:rsid w:val="7D0B76D2"/>
    <w:rsid w:val="7D8031BA"/>
    <w:rsid w:val="7E462FD2"/>
    <w:rsid w:val="7E7A711F"/>
    <w:rsid w:val="7EF7511C"/>
    <w:rsid w:val="7F7363AB"/>
    <w:rsid w:val="7F775E98"/>
    <w:rsid w:val="7F9B4E86"/>
    <w:rsid w:val="96ED77C2"/>
    <w:rsid w:val="9FFFCA6B"/>
    <w:rsid w:val="A79E7CE7"/>
    <w:rsid w:val="A9DF3FAE"/>
    <w:rsid w:val="BD4FEF1E"/>
    <w:rsid w:val="BFF9E895"/>
    <w:rsid w:val="D3FF03D0"/>
    <w:rsid w:val="E8C3572A"/>
    <w:rsid w:val="E9ECAEE5"/>
    <w:rsid w:val="EB97842F"/>
    <w:rsid w:val="EFFBB3FB"/>
    <w:rsid w:val="F1BE6F4E"/>
    <w:rsid w:val="F5CFC211"/>
    <w:rsid w:val="F95D0FE2"/>
    <w:rsid w:val="FA1D27D2"/>
    <w:rsid w:val="FEFDF156"/>
    <w:rsid w:val="FFD68A5A"/>
    <w:rsid w:val="FFEF23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unhideWhenUsed/>
    <w:qFormat/>
    <w:uiPriority w:val="0"/>
    <w:pPr>
      <w:keepNext w:val="0"/>
      <w:keepLines w:val="0"/>
      <w:widowControl w:val="0"/>
      <w:suppressLineNumbers w:val="0"/>
      <w:spacing w:before="100" w:beforeAutospacing="1" w:after="100" w:afterAutospacing="1"/>
      <w:jc w:val="left"/>
      <w:outlineLvl w:val="2"/>
    </w:pPr>
    <w:rPr>
      <w:rFonts w:hint="eastAsia" w:ascii="宋体" w:hAnsi="宋体" w:eastAsia="宋体" w:cs="宋体"/>
      <w:b/>
      <w:bCs/>
      <w:kern w:val="0"/>
      <w:sz w:val="27"/>
      <w:szCs w:val="27"/>
      <w:lang w:val="en-US" w:eastAsia="zh-CN" w:bidi="ar"/>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semiHidden/>
    <w:qFormat/>
    <w:uiPriority w:val="0"/>
    <w:rPr>
      <w:rFonts w:ascii="宋体" w:hAnsi="宋体" w:eastAsia="宋体" w:cs="宋体"/>
      <w:sz w:val="24"/>
      <w:szCs w:val="24"/>
      <w:lang w:val="en-US" w:eastAsia="en-US" w:bidi="ar-SA"/>
    </w:rPr>
  </w:style>
  <w:style w:type="paragraph" w:styleId="7">
    <w:name w:val="Plain Text"/>
    <w:basedOn w:val="1"/>
    <w:unhideWhenUsed/>
    <w:qFormat/>
    <w:uiPriority w:val="0"/>
    <w:pPr>
      <w:widowControl/>
      <w:spacing w:before="100" w:beforeAutospacing="1" w:after="100" w:afterAutospacing="1"/>
      <w:jc w:val="left"/>
    </w:pPr>
    <w:rPr>
      <w:rFonts w:ascii="宋体" w:hAnsi="宋体"/>
      <w:kern w:val="0"/>
      <w:sz w:val="24"/>
    </w:rPr>
  </w:style>
  <w:style w:type="paragraph" w:styleId="8">
    <w:name w:val="Balloon Text"/>
    <w:basedOn w:val="1"/>
    <w:link w:val="20"/>
    <w:qFormat/>
    <w:uiPriority w:val="0"/>
    <w:rPr>
      <w:sz w:val="18"/>
      <w:szCs w:val="18"/>
    </w:rPr>
  </w:style>
  <w:style w:type="paragraph" w:styleId="9">
    <w:name w:val="footer"/>
    <w:basedOn w:val="1"/>
    <w:link w:val="18"/>
    <w:qFormat/>
    <w:uiPriority w:val="0"/>
    <w:pPr>
      <w:tabs>
        <w:tab w:val="center" w:pos="4153"/>
        <w:tab w:val="right" w:pos="8306"/>
      </w:tabs>
      <w:snapToGrid w:val="0"/>
      <w:jc w:val="left"/>
    </w:pPr>
    <w:rPr>
      <w:sz w:val="18"/>
      <w:szCs w:val="18"/>
    </w:rPr>
  </w:style>
  <w:style w:type="paragraph" w:styleId="10">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jc w:val="left"/>
    </w:pPr>
    <w:rPr>
      <w:rFonts w:cs="Times New Roman"/>
      <w:kern w:val="0"/>
      <w:sz w:val="24"/>
    </w:rPr>
  </w:style>
  <w:style w:type="table" w:styleId="13">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basedOn w:val="14"/>
    <w:qFormat/>
    <w:uiPriority w:val="0"/>
    <w:rPr>
      <w:b/>
    </w:rPr>
  </w:style>
  <w:style w:type="paragraph" w:customStyle="1" w:styleId="16">
    <w:name w:val="正文（缩进）"/>
    <w:basedOn w:val="1"/>
    <w:qFormat/>
    <w:uiPriority w:val="0"/>
    <w:pPr>
      <w:spacing w:before="156" w:after="156"/>
      <w:ind w:firstLine="480" w:firstLineChars="200"/>
    </w:pPr>
  </w:style>
  <w:style w:type="character" w:customStyle="1" w:styleId="17">
    <w:name w:val="页眉 字符"/>
    <w:basedOn w:val="14"/>
    <w:link w:val="10"/>
    <w:qFormat/>
    <w:uiPriority w:val="0"/>
    <w:rPr>
      <w:rFonts w:asciiTheme="minorHAnsi" w:hAnsiTheme="minorHAnsi" w:eastAsiaTheme="minorEastAsia" w:cstheme="minorBidi"/>
      <w:kern w:val="2"/>
      <w:sz w:val="18"/>
      <w:szCs w:val="18"/>
    </w:rPr>
  </w:style>
  <w:style w:type="character" w:customStyle="1" w:styleId="18">
    <w:name w:val="页脚 字符"/>
    <w:basedOn w:val="14"/>
    <w:link w:val="9"/>
    <w:qFormat/>
    <w:uiPriority w:val="0"/>
    <w:rPr>
      <w:rFonts w:asciiTheme="minorHAnsi" w:hAnsiTheme="minorHAnsi" w:eastAsiaTheme="minorEastAsia" w:cstheme="minorBidi"/>
      <w:kern w:val="2"/>
      <w:sz w:val="18"/>
      <w:szCs w:val="18"/>
    </w:rPr>
  </w:style>
  <w:style w:type="table" w:customStyle="1" w:styleId="19">
    <w:name w:val="Table Normal"/>
    <w:semiHidden/>
    <w:unhideWhenUsed/>
    <w:qFormat/>
    <w:uiPriority w:val="0"/>
    <w:rPr>
      <w:rFonts w:ascii="Arial" w:hAnsi="Arial" w:cs="Arial" w:eastAsiaTheme="minorEastAsia"/>
      <w:snapToGrid w:val="0"/>
      <w:color w:val="000000"/>
      <w:sz w:val="21"/>
      <w:szCs w:val="21"/>
    </w:rPr>
    <w:tblPr>
      <w:tblCellMar>
        <w:top w:w="0" w:type="dxa"/>
        <w:left w:w="0" w:type="dxa"/>
        <w:bottom w:w="0" w:type="dxa"/>
        <w:right w:w="0" w:type="dxa"/>
      </w:tblCellMar>
    </w:tblPr>
  </w:style>
  <w:style w:type="character" w:customStyle="1" w:styleId="20">
    <w:name w:val="批注框文本 字符"/>
    <w:basedOn w:val="14"/>
    <w:link w:val="8"/>
    <w:qFormat/>
    <w:uiPriority w:val="0"/>
    <w:rPr>
      <w:rFonts w:asciiTheme="minorHAnsi" w:hAnsiTheme="minorHAnsi" w:eastAsiaTheme="minorEastAsia" w:cstheme="minorBidi"/>
      <w:kern w:val="2"/>
      <w:sz w:val="18"/>
      <w:szCs w:val="18"/>
    </w:rPr>
  </w:style>
  <w:style w:type="paragraph" w:customStyle="1" w:styleId="21">
    <w:name w:val="Heading2"/>
    <w:basedOn w:val="1"/>
    <w:next w:val="1"/>
    <w:qFormat/>
    <w:uiPriority w:val="99"/>
    <w:pPr>
      <w:ind w:left="110"/>
    </w:pPr>
    <w:rPr>
      <w:rFonts w:ascii="宋体" w:hAnsi="宋体" w:eastAsia="宋体" w:cs="Times New Roman"/>
      <w:sz w:val="62"/>
      <w:szCs w:val="62"/>
    </w:rPr>
  </w:style>
  <w:style w:type="paragraph" w:customStyle="1" w:styleId="22">
    <w:name w:val="Table Text"/>
    <w:basedOn w:val="1"/>
    <w:semiHidden/>
    <w:qFormat/>
    <w:uiPriority w:val="0"/>
    <w:rPr>
      <w:rFonts w:ascii="宋体" w:hAnsi="宋体" w:eastAsia="宋体" w:cs="宋体"/>
      <w:sz w:val="21"/>
      <w:szCs w:val="21"/>
      <w:lang w:val="en-US" w:eastAsia="en-US" w:bidi="ar-SA"/>
    </w:rPr>
  </w:style>
  <w:style w:type="paragraph" w:customStyle="1" w:styleId="23">
    <w:name w:val="Body text|1"/>
    <w:basedOn w:val="1"/>
    <w:qFormat/>
    <w:uiPriority w:val="0"/>
    <w:pPr>
      <w:keepNext w:val="0"/>
      <w:keepLines w:val="0"/>
      <w:widowControl w:val="0"/>
      <w:suppressLineNumbers w:val="0"/>
      <w:spacing w:before="0" w:beforeAutospacing="0" w:after="0" w:afterAutospacing="0" w:line="420" w:lineRule="auto"/>
      <w:ind w:left="0" w:right="0" w:firstLine="400"/>
      <w:jc w:val="left"/>
    </w:pPr>
    <w:rPr>
      <w:rFonts w:hint="eastAsia" w:ascii="宋体" w:hAnsi="宋体" w:eastAsia="宋体" w:cs="宋体"/>
      <w:color w:val="000000"/>
      <w:kern w:val="0"/>
      <w:sz w:val="20"/>
      <w:szCs w:val="20"/>
      <w:lang w:val="en-US" w:eastAsia="zh-CN" w:bidi="ar"/>
    </w:rPr>
  </w:style>
  <w:style w:type="paragraph" w:customStyle="1" w:styleId="24">
    <w:name w:val="正文格式"/>
    <w:basedOn w:val="1"/>
    <w:qFormat/>
    <w:uiPriority w:val="0"/>
    <w:pPr>
      <w:widowControl/>
      <w:adjustRightInd w:val="0"/>
      <w:snapToGrid w:val="0"/>
      <w:spacing w:line="400" w:lineRule="atLeast"/>
      <w:ind w:firstLine="482"/>
      <w:textAlignment w:val="baseline"/>
    </w:pPr>
    <w:rPr>
      <w:kern w:val="0"/>
      <w:sz w:val="24"/>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 SelectedStyl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74CC43-6DB9-4683-A5A3-117B068A79AD}">
  <ds:schemaRefs/>
</ds:datastoreItem>
</file>

<file path=docProps/app.xml><?xml version="1.0" encoding="utf-8"?>
<Properties xmlns="http://schemas.openxmlformats.org/officeDocument/2006/extended-properties" xmlns:vt="http://schemas.openxmlformats.org/officeDocument/2006/docPropsVTypes">
  <Company>HP</Company>
  <Pages>50</Pages>
  <Words>14376</Words>
  <Characters>14567</Characters>
  <Lines>83</Lines>
  <Paragraphs>23</Paragraphs>
  <TotalTime>6</TotalTime>
  <ScaleCrop>false</ScaleCrop>
  <LinksUpToDate>false</LinksUpToDate>
  <CharactersWithSpaces>14567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2023-07-03T22:43:00Z</dcterms:created>
  <dc:creator>Lenovo</dc:creator>
  <cp:lastModifiedBy>Faith</cp:lastModifiedBy>
  <cp:lastPrinted>2023-09-01T03:20:00Z</cp:lastPrinted>
  <dcterms:modified xsi:type="dcterms:W3CDTF">2025-09-15T10:06:43Z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8854062340CB4D8BA19683B6CA91AE0B_13</vt:lpwstr>
  </property>
  <property fmtid="{D5CDD505-2E9C-101B-9397-08002B2CF9AE}" pid="4" name="KSOTemplateDocerSaveRecord">
    <vt:lpwstr>eyJoZGlkIjoiZmRiZTdhOTU5MDJiNGNjNDZhZDljZjBmZTIwNzQyZDMiLCJ1c2VySWQiOiI3MzcyMTc0NDAifQ==</vt:lpwstr>
  </property>
</Properties>
</file>