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949F9">
      <w:pPr>
        <w:adjustRightInd w:val="0"/>
        <w:snapToGrid w:val="0"/>
        <w:spacing w:line="480" w:lineRule="exact"/>
        <w:jc w:val="center"/>
        <w:rPr>
          <w:rFonts w:ascii="方正小标宋简体" w:hAnsi="方正小标宋简体" w:eastAsia="方正小标宋简体" w:cs="方正小标宋简体"/>
          <w:bCs/>
          <w:sz w:val="44"/>
          <w:szCs w:val="44"/>
        </w:rPr>
      </w:pPr>
      <w:bookmarkStart w:id="0" w:name="_Toc24152"/>
      <w:bookmarkStart w:id="1" w:name="_Toc26808"/>
      <w:r>
        <w:rPr>
          <w:rFonts w:hint="eastAsia" w:ascii="方正小标宋简体" w:hAnsi="方正小标宋简体" w:eastAsia="方正小标宋简体" w:cs="方正小标宋简体"/>
          <w:bCs/>
          <w:sz w:val="44"/>
          <w:szCs w:val="44"/>
        </w:rPr>
        <w:t>新能源汽车检测与维修技术专科专业</w:t>
      </w:r>
    </w:p>
    <w:p w14:paraId="471E5D99">
      <w:pPr>
        <w:adjustRightInd w:val="0"/>
        <w:snapToGrid w:val="0"/>
        <w:spacing w:line="48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人才培养方案</w:t>
      </w:r>
      <w:bookmarkEnd w:id="0"/>
      <w:bookmarkEnd w:id="1"/>
    </w:p>
    <w:p w14:paraId="7CA8D927">
      <w:pPr>
        <w:pStyle w:val="2"/>
        <w:ind w:firstLine="420"/>
      </w:pPr>
      <w:bookmarkStart w:id="2" w:name="_Toc6388"/>
    </w:p>
    <w:p w14:paraId="7093DF47">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一、专业代码与名称</w:t>
      </w:r>
      <w:bookmarkEnd w:id="2"/>
    </w:p>
    <w:p w14:paraId="0EFD2F5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1.专业代码：</w:t>
      </w:r>
      <w:r>
        <w:rPr>
          <w:rFonts w:ascii="宋体" w:hAnsi="宋体" w:eastAsia="宋体" w:cs="宋体"/>
          <w:bCs/>
          <w:szCs w:val="21"/>
        </w:rPr>
        <w:t>500212</w:t>
      </w:r>
    </w:p>
    <w:p w14:paraId="421E333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2.专业名称：新能源汽车检测与维修技术</w:t>
      </w:r>
    </w:p>
    <w:p w14:paraId="128CDBB2">
      <w:pPr>
        <w:adjustRightInd w:val="0"/>
        <w:snapToGrid w:val="0"/>
        <w:spacing w:line="400" w:lineRule="exact"/>
        <w:ind w:firstLine="480" w:firstLineChars="200"/>
        <w:rPr>
          <w:rFonts w:ascii="黑体" w:hAnsi="黑体" w:eastAsia="黑体" w:cs="黑体"/>
          <w:bCs/>
          <w:sz w:val="24"/>
        </w:rPr>
      </w:pPr>
      <w:bookmarkStart w:id="3" w:name="_Toc3685"/>
      <w:r>
        <w:rPr>
          <w:rFonts w:hint="eastAsia" w:ascii="黑体" w:hAnsi="黑体" w:eastAsia="黑体" w:cs="黑体"/>
          <w:bCs/>
          <w:sz w:val="24"/>
        </w:rPr>
        <w:t>二、教育类型及学历层次</w:t>
      </w:r>
      <w:bookmarkEnd w:id="3"/>
    </w:p>
    <w:p w14:paraId="130A40E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1.教育类型：高等职业教育</w:t>
      </w:r>
    </w:p>
    <w:p w14:paraId="3EC4961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2.学历层次：专科</w:t>
      </w:r>
    </w:p>
    <w:p w14:paraId="08443EBB">
      <w:pPr>
        <w:adjustRightInd w:val="0"/>
        <w:snapToGrid w:val="0"/>
        <w:spacing w:line="400" w:lineRule="exact"/>
        <w:ind w:firstLine="480" w:firstLineChars="200"/>
        <w:rPr>
          <w:rFonts w:ascii="黑体" w:hAnsi="黑体" w:eastAsia="黑体" w:cs="黑体"/>
          <w:bCs/>
          <w:sz w:val="24"/>
        </w:rPr>
      </w:pPr>
      <w:bookmarkStart w:id="4" w:name="_Toc30608"/>
      <w:r>
        <w:rPr>
          <w:rFonts w:hint="eastAsia" w:ascii="黑体" w:hAnsi="黑体" w:eastAsia="黑体" w:cs="黑体"/>
          <w:bCs/>
          <w:sz w:val="24"/>
        </w:rPr>
        <w:t>三、招生对象、学制及学习形式</w:t>
      </w:r>
      <w:bookmarkEnd w:id="4"/>
    </w:p>
    <w:p w14:paraId="50AC06B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1.招收对象：高中阶段教育毕业生或具有同等学力者</w:t>
      </w:r>
    </w:p>
    <w:p w14:paraId="0F2B0C8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2.学制：基本学制3年,弹性学制3-5年</w:t>
      </w:r>
    </w:p>
    <w:p w14:paraId="4FCD1C7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3.学习形式：全日制</w:t>
      </w:r>
    </w:p>
    <w:p w14:paraId="3C9FF0C5">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四、职业面向及发展路径</w:t>
      </w:r>
    </w:p>
    <w:p w14:paraId="1BD4B53C">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（一）毕业生职业面向</w:t>
      </w:r>
    </w:p>
    <w:p w14:paraId="7F7D8DE4">
      <w:pPr>
        <w:pStyle w:val="2"/>
        <w:spacing w:before="0" w:after="0" w:line="40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表1  毕业生职业面向表</w:t>
      </w:r>
    </w:p>
    <w:tbl>
      <w:tblPr>
        <w:tblStyle w:val="13"/>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276"/>
        <w:gridCol w:w="1134"/>
        <w:gridCol w:w="2050"/>
        <w:gridCol w:w="1530"/>
        <w:gridCol w:w="1599"/>
      </w:tblGrid>
      <w:tr w14:paraId="7B9F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5C6A6C39">
            <w:pPr>
              <w:adjustRightInd w:val="0"/>
              <w:spacing w:line="240" w:lineRule="exact"/>
              <w:jc w:val="center"/>
              <w:rPr>
                <w:rFonts w:ascii="Times New Roman" w:hAnsi="Times New Roman" w:eastAsia="黑体" w:cs="Times New Roman"/>
                <w:bCs/>
                <w:sz w:val="18"/>
                <w:szCs w:val="18"/>
              </w:rPr>
            </w:pPr>
            <w:bookmarkStart w:id="5" w:name="_Toc3015"/>
            <w:r>
              <w:rPr>
                <w:rFonts w:hint="eastAsia" w:ascii="Times New Roman" w:hAnsi="Times New Roman" w:eastAsia="黑体" w:cs="Times New Roman"/>
                <w:bCs/>
                <w:sz w:val="18"/>
                <w:szCs w:val="18"/>
              </w:rPr>
              <w:t>所属</w:t>
            </w:r>
          </w:p>
          <w:p w14:paraId="6A9F7260">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专业大类</w:t>
            </w:r>
            <w:bookmarkEnd w:id="5"/>
          </w:p>
          <w:p w14:paraId="34237F7F">
            <w:pPr>
              <w:adjustRightInd w:val="0"/>
              <w:spacing w:line="240" w:lineRule="exact"/>
              <w:jc w:val="center"/>
              <w:rPr>
                <w:rFonts w:ascii="Times New Roman" w:hAnsi="Times New Roman" w:eastAsia="黑体" w:cs="Times New Roman"/>
                <w:bCs/>
                <w:sz w:val="18"/>
                <w:szCs w:val="18"/>
              </w:rPr>
            </w:pPr>
            <w:bookmarkStart w:id="6" w:name="_Toc7017"/>
            <w:r>
              <w:rPr>
                <w:rFonts w:hint="eastAsia" w:ascii="Times New Roman" w:hAnsi="Times New Roman" w:eastAsia="黑体" w:cs="Times New Roman"/>
                <w:bCs/>
                <w:sz w:val="18"/>
                <w:szCs w:val="18"/>
              </w:rPr>
              <w:t>（代码）</w:t>
            </w:r>
            <w:bookmarkEnd w:id="6"/>
          </w:p>
        </w:tc>
        <w:tc>
          <w:tcPr>
            <w:tcW w:w="1276" w:type="dxa"/>
            <w:vAlign w:val="center"/>
          </w:tcPr>
          <w:p w14:paraId="59CE4E7E">
            <w:pPr>
              <w:adjustRightInd w:val="0"/>
              <w:spacing w:line="240" w:lineRule="exact"/>
              <w:jc w:val="center"/>
              <w:rPr>
                <w:rFonts w:ascii="Times New Roman" w:hAnsi="Times New Roman" w:eastAsia="黑体" w:cs="Times New Roman"/>
                <w:bCs/>
                <w:sz w:val="18"/>
                <w:szCs w:val="18"/>
              </w:rPr>
            </w:pPr>
            <w:bookmarkStart w:id="7" w:name="_Toc5468"/>
            <w:r>
              <w:rPr>
                <w:rFonts w:hint="eastAsia" w:ascii="Times New Roman" w:hAnsi="Times New Roman" w:eastAsia="黑体" w:cs="Times New Roman"/>
                <w:bCs/>
                <w:sz w:val="18"/>
                <w:szCs w:val="18"/>
              </w:rPr>
              <w:t>所属</w:t>
            </w:r>
          </w:p>
          <w:p w14:paraId="3E32FB8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专业类</w:t>
            </w:r>
            <w:bookmarkEnd w:id="7"/>
          </w:p>
          <w:p w14:paraId="2FADDB29">
            <w:pPr>
              <w:adjustRightInd w:val="0"/>
              <w:spacing w:line="240" w:lineRule="exact"/>
              <w:jc w:val="center"/>
              <w:rPr>
                <w:rFonts w:ascii="Times New Roman" w:hAnsi="Times New Roman" w:eastAsia="黑体" w:cs="Times New Roman"/>
                <w:bCs/>
                <w:sz w:val="18"/>
                <w:szCs w:val="18"/>
              </w:rPr>
            </w:pPr>
            <w:bookmarkStart w:id="8" w:name="_Toc17385"/>
            <w:r>
              <w:rPr>
                <w:rFonts w:hint="eastAsia" w:ascii="Times New Roman" w:hAnsi="Times New Roman" w:eastAsia="黑体" w:cs="Times New Roman"/>
                <w:bCs/>
                <w:sz w:val="18"/>
                <w:szCs w:val="18"/>
              </w:rPr>
              <w:t>（代码）</w:t>
            </w:r>
            <w:bookmarkEnd w:id="8"/>
          </w:p>
        </w:tc>
        <w:tc>
          <w:tcPr>
            <w:tcW w:w="1134" w:type="dxa"/>
            <w:vAlign w:val="center"/>
          </w:tcPr>
          <w:p w14:paraId="3C45DA80">
            <w:pPr>
              <w:adjustRightInd w:val="0"/>
              <w:spacing w:line="240" w:lineRule="exact"/>
              <w:jc w:val="center"/>
              <w:rPr>
                <w:rFonts w:ascii="Times New Roman" w:hAnsi="Times New Roman" w:eastAsia="黑体" w:cs="Times New Roman"/>
                <w:bCs/>
                <w:sz w:val="18"/>
                <w:szCs w:val="18"/>
              </w:rPr>
            </w:pPr>
            <w:bookmarkStart w:id="9" w:name="_Toc24132"/>
            <w:r>
              <w:rPr>
                <w:rFonts w:hint="eastAsia" w:ascii="Times New Roman" w:hAnsi="Times New Roman" w:eastAsia="黑体" w:cs="Times New Roman"/>
                <w:bCs/>
                <w:sz w:val="18"/>
                <w:szCs w:val="18"/>
              </w:rPr>
              <w:t>对应行业</w:t>
            </w:r>
            <w:bookmarkEnd w:id="9"/>
          </w:p>
          <w:p w14:paraId="04B8D5E3">
            <w:pPr>
              <w:adjustRightInd w:val="0"/>
              <w:spacing w:line="240" w:lineRule="exact"/>
              <w:jc w:val="center"/>
              <w:rPr>
                <w:rFonts w:ascii="Times New Roman" w:hAnsi="Times New Roman" w:eastAsia="黑体" w:cs="Times New Roman"/>
                <w:bCs/>
                <w:sz w:val="18"/>
                <w:szCs w:val="18"/>
              </w:rPr>
            </w:pPr>
            <w:bookmarkStart w:id="10" w:name="_Toc27551"/>
            <w:r>
              <w:rPr>
                <w:rFonts w:hint="eastAsia" w:ascii="Times New Roman" w:hAnsi="Times New Roman" w:eastAsia="黑体" w:cs="Times New Roman"/>
                <w:bCs/>
                <w:sz w:val="18"/>
                <w:szCs w:val="18"/>
              </w:rPr>
              <w:t>（代码）</w:t>
            </w:r>
            <w:bookmarkEnd w:id="10"/>
          </w:p>
        </w:tc>
        <w:tc>
          <w:tcPr>
            <w:tcW w:w="2050" w:type="dxa"/>
            <w:vAlign w:val="center"/>
          </w:tcPr>
          <w:p w14:paraId="2EE465E6">
            <w:pPr>
              <w:adjustRightInd w:val="0"/>
              <w:spacing w:line="240" w:lineRule="exact"/>
              <w:jc w:val="center"/>
              <w:rPr>
                <w:rFonts w:ascii="Times New Roman" w:hAnsi="Times New Roman" w:eastAsia="黑体" w:cs="Times New Roman"/>
                <w:bCs/>
                <w:sz w:val="18"/>
                <w:szCs w:val="18"/>
              </w:rPr>
            </w:pPr>
            <w:bookmarkStart w:id="11" w:name="_Toc758"/>
            <w:r>
              <w:rPr>
                <w:rFonts w:hint="eastAsia" w:ascii="Times New Roman" w:hAnsi="Times New Roman" w:eastAsia="黑体" w:cs="Times New Roman"/>
                <w:bCs/>
                <w:sz w:val="18"/>
                <w:szCs w:val="18"/>
              </w:rPr>
              <w:t>主要职业类别</w:t>
            </w:r>
            <w:bookmarkEnd w:id="11"/>
          </w:p>
          <w:p w14:paraId="262CF680">
            <w:pPr>
              <w:adjustRightInd w:val="0"/>
              <w:spacing w:line="240" w:lineRule="exact"/>
              <w:jc w:val="center"/>
              <w:rPr>
                <w:rFonts w:ascii="Times New Roman" w:hAnsi="Times New Roman" w:eastAsia="黑体" w:cs="Times New Roman"/>
                <w:bCs/>
                <w:sz w:val="18"/>
                <w:szCs w:val="18"/>
              </w:rPr>
            </w:pPr>
            <w:bookmarkStart w:id="12" w:name="_Toc16554"/>
            <w:r>
              <w:rPr>
                <w:rFonts w:hint="eastAsia" w:ascii="Times New Roman" w:hAnsi="Times New Roman" w:eastAsia="黑体" w:cs="Times New Roman"/>
                <w:bCs/>
                <w:sz w:val="18"/>
                <w:szCs w:val="18"/>
              </w:rPr>
              <w:t>（代码）</w:t>
            </w:r>
            <w:bookmarkEnd w:id="12"/>
          </w:p>
        </w:tc>
        <w:tc>
          <w:tcPr>
            <w:tcW w:w="1530" w:type="dxa"/>
            <w:vAlign w:val="center"/>
          </w:tcPr>
          <w:p w14:paraId="331630D1">
            <w:pPr>
              <w:adjustRightInd w:val="0"/>
              <w:spacing w:line="240" w:lineRule="exact"/>
              <w:jc w:val="center"/>
              <w:rPr>
                <w:rFonts w:ascii="Times New Roman" w:hAnsi="Times New Roman" w:eastAsia="黑体" w:cs="Times New Roman"/>
                <w:bCs/>
                <w:sz w:val="18"/>
                <w:szCs w:val="18"/>
              </w:rPr>
            </w:pPr>
            <w:bookmarkStart w:id="13" w:name="_Toc30357"/>
            <w:r>
              <w:rPr>
                <w:rFonts w:hint="eastAsia" w:ascii="Times New Roman" w:hAnsi="Times New Roman" w:eastAsia="黑体" w:cs="Times New Roman"/>
                <w:bCs/>
                <w:sz w:val="18"/>
                <w:szCs w:val="18"/>
              </w:rPr>
              <w:t>主要岗位群或技术领域</w:t>
            </w:r>
            <w:bookmarkEnd w:id="13"/>
          </w:p>
        </w:tc>
        <w:tc>
          <w:tcPr>
            <w:tcW w:w="1599" w:type="dxa"/>
            <w:vAlign w:val="center"/>
          </w:tcPr>
          <w:p w14:paraId="2DDCD887">
            <w:pPr>
              <w:adjustRightInd w:val="0"/>
              <w:spacing w:line="240" w:lineRule="exact"/>
              <w:jc w:val="center"/>
              <w:rPr>
                <w:rFonts w:ascii="Times New Roman" w:hAnsi="Times New Roman" w:eastAsia="黑体" w:cs="Times New Roman"/>
                <w:bCs/>
                <w:sz w:val="18"/>
                <w:szCs w:val="18"/>
              </w:rPr>
            </w:pPr>
            <w:bookmarkStart w:id="14" w:name="_Toc22834"/>
            <w:r>
              <w:rPr>
                <w:rFonts w:hint="eastAsia" w:ascii="Times New Roman" w:hAnsi="Times New Roman" w:eastAsia="黑体" w:cs="Times New Roman"/>
                <w:bCs/>
                <w:sz w:val="18"/>
                <w:szCs w:val="18"/>
              </w:rPr>
              <w:t>职业资格证书和职业技能等级证书举例</w:t>
            </w:r>
            <w:bookmarkEnd w:id="14"/>
          </w:p>
        </w:tc>
      </w:tr>
      <w:tr w14:paraId="03E4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507ECFE3">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交通运输大类（60）</w:t>
            </w:r>
          </w:p>
        </w:tc>
        <w:tc>
          <w:tcPr>
            <w:tcW w:w="1276" w:type="dxa"/>
            <w:vAlign w:val="center"/>
          </w:tcPr>
          <w:p w14:paraId="518645F7">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道路运输类（6002）</w:t>
            </w:r>
          </w:p>
        </w:tc>
        <w:tc>
          <w:tcPr>
            <w:tcW w:w="1134" w:type="dxa"/>
            <w:vAlign w:val="center"/>
          </w:tcPr>
          <w:p w14:paraId="20CDB26D">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汽车服务业（8111）</w:t>
            </w:r>
          </w:p>
          <w:p w14:paraId="31CFC5D1">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汽车制造业（3612）</w:t>
            </w:r>
          </w:p>
        </w:tc>
        <w:tc>
          <w:tcPr>
            <w:tcW w:w="2050" w:type="dxa"/>
            <w:vAlign w:val="center"/>
          </w:tcPr>
          <w:p w14:paraId="47521550">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汽车运用工程技术人员（2-02-15-01）</w:t>
            </w:r>
          </w:p>
          <w:p w14:paraId="7A9F620C">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汽车维修工（6-22-01-05）</w:t>
            </w:r>
          </w:p>
        </w:tc>
        <w:tc>
          <w:tcPr>
            <w:tcW w:w="1530" w:type="dxa"/>
            <w:vAlign w:val="center"/>
          </w:tcPr>
          <w:p w14:paraId="2B44C90B">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新能源汽车机电维修、汽车维修业务接待、新能源汽车检测、充电设备维护、二手车鉴定评估</w:t>
            </w:r>
          </w:p>
        </w:tc>
        <w:tc>
          <w:tcPr>
            <w:tcW w:w="1599" w:type="dxa"/>
            <w:vAlign w:val="center"/>
          </w:tcPr>
          <w:p w14:paraId="4E4126FD">
            <w:pPr>
              <w:widowControl/>
              <w:adjustRightInd w:val="0"/>
              <w:snapToGrid w:val="0"/>
              <w:jc w:val="center"/>
              <w:rPr>
                <w:rFonts w:ascii="宋体" w:hAnsi="宋体" w:eastAsia="宋体" w:cs="Times New Roman"/>
                <w:kern w:val="0"/>
                <w:sz w:val="18"/>
                <w:szCs w:val="18"/>
              </w:rPr>
            </w:pPr>
            <w:r>
              <w:rPr>
                <w:rFonts w:hint="eastAsia" w:ascii="宋体" w:hAnsi="宋体" w:eastAsia="宋体" w:cs="Times New Roman"/>
                <w:kern w:val="0"/>
                <w:sz w:val="18"/>
                <w:szCs w:val="18"/>
              </w:rPr>
              <w:t>新能源汽车检测与维修职业技能等级证书（中级）、低压电工操作证、汽车维修工（中级）</w:t>
            </w:r>
          </w:p>
        </w:tc>
      </w:tr>
    </w:tbl>
    <w:p w14:paraId="72EA7131">
      <w:pPr>
        <w:overflowPunct w:val="0"/>
        <w:adjustRightInd w:val="0"/>
        <w:spacing w:before="62" w:beforeLines="20" w:after="62" w:afterLines="20" w:line="240" w:lineRule="exact"/>
        <w:ind w:firstLine="422" w:firstLineChars="200"/>
        <w:outlineLvl w:val="0"/>
        <w:rPr>
          <w:rFonts w:ascii="宋体" w:hAnsi="宋体" w:eastAsia="宋体" w:cs="宋体"/>
          <w:b/>
          <w:szCs w:val="32"/>
        </w:rPr>
      </w:pPr>
      <w:r>
        <w:rPr>
          <w:rFonts w:hint="eastAsia" w:ascii="宋体" w:hAnsi="宋体" w:eastAsia="宋体" w:cs="宋体"/>
          <w:b/>
          <w:szCs w:val="32"/>
        </w:rPr>
        <w:t>（二）毕业生职业发展路径</w:t>
      </w:r>
    </w:p>
    <w:p w14:paraId="235B29A7">
      <w:pPr>
        <w:pStyle w:val="2"/>
        <w:spacing w:before="93" w:beforeLines="30" w:after="93" w:afterLines="30" w:line="24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表2  毕业生职业发展路径表</w:t>
      </w:r>
    </w:p>
    <w:tbl>
      <w:tblPr>
        <w:tblStyle w:val="14"/>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1777"/>
        <w:gridCol w:w="5639"/>
      </w:tblGrid>
      <w:tr w14:paraId="7753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1631" w:type="dxa"/>
            <w:vAlign w:val="center"/>
          </w:tcPr>
          <w:p w14:paraId="24077B5C">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岗位类型</w:t>
            </w:r>
          </w:p>
        </w:tc>
        <w:tc>
          <w:tcPr>
            <w:tcW w:w="1777" w:type="dxa"/>
            <w:vAlign w:val="center"/>
          </w:tcPr>
          <w:p w14:paraId="723328E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岗位名称</w:t>
            </w:r>
          </w:p>
        </w:tc>
        <w:tc>
          <w:tcPr>
            <w:tcW w:w="5639" w:type="dxa"/>
            <w:vAlign w:val="center"/>
          </w:tcPr>
          <w:p w14:paraId="4DCF95D3">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岗位要求</w:t>
            </w:r>
          </w:p>
        </w:tc>
      </w:tr>
      <w:tr w14:paraId="2105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1631" w:type="dxa"/>
            <w:vAlign w:val="center"/>
          </w:tcPr>
          <w:p w14:paraId="2C889917">
            <w:pPr>
              <w:widowControl/>
              <w:jc w:val="center"/>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目标岗位</w:t>
            </w:r>
          </w:p>
        </w:tc>
        <w:tc>
          <w:tcPr>
            <w:tcW w:w="1777" w:type="dxa"/>
            <w:vAlign w:val="center"/>
          </w:tcPr>
          <w:p w14:paraId="06716142">
            <w:pPr>
              <w:widowControl/>
              <w:jc w:val="center"/>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新能源汽车机电维修工、充电设备维护员</w:t>
            </w:r>
          </w:p>
        </w:tc>
        <w:tc>
          <w:tcPr>
            <w:tcW w:w="5639" w:type="dxa"/>
            <w:vAlign w:val="center"/>
          </w:tcPr>
          <w:p w14:paraId="233B05F8">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1.掌握新能源汽车 “三电” 系统（电池、电机、电控）的基本构造与工作原理；</w:t>
            </w:r>
          </w:p>
          <w:p w14:paraId="66C0D8C9">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2.熟悉新能源汽车维护工艺规范和安全操作流程；</w:t>
            </w:r>
          </w:p>
          <w:p w14:paraId="6535A0A4">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3.能使用专用检测设备对电池组、驱动电机进行性能检测；</w:t>
            </w:r>
          </w:p>
          <w:p w14:paraId="0771E09B">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4.具备充电设备日常维护与简单故障排查能力；</w:t>
            </w:r>
          </w:p>
          <w:p w14:paraId="5409F404">
            <w:pPr>
              <w:widowControl/>
              <w:jc w:val="left"/>
              <w:rPr>
                <w:rFonts w:asciiTheme="minorEastAsia" w:hAnsiTheme="minorEastAsia" w:cstheme="minorEastAsia"/>
                <w:kern w:val="0"/>
                <w:sz w:val="18"/>
                <w:szCs w:val="18"/>
                <w:highlight w:val="yellow"/>
                <w:lang w:bidi="ar"/>
              </w:rPr>
            </w:pPr>
            <w:r>
              <w:rPr>
                <w:rFonts w:hint="eastAsia" w:asciiTheme="minorEastAsia" w:hAnsiTheme="minorEastAsia" w:cstheme="minorEastAsia"/>
                <w:kern w:val="0"/>
                <w:sz w:val="18"/>
                <w:szCs w:val="18"/>
                <w:lang w:bidi="ar"/>
              </w:rPr>
              <w:t>5.能读懂新能源汽车电路图和维修手册。</w:t>
            </w:r>
          </w:p>
        </w:tc>
      </w:tr>
      <w:tr w14:paraId="53C9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3194BB36">
            <w:pPr>
              <w:widowControl/>
              <w:jc w:val="center"/>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发展岗位</w:t>
            </w:r>
          </w:p>
        </w:tc>
        <w:tc>
          <w:tcPr>
            <w:tcW w:w="1777" w:type="dxa"/>
            <w:vAlign w:val="center"/>
          </w:tcPr>
          <w:p w14:paraId="0EEE63F3">
            <w:pPr>
              <w:widowControl/>
              <w:jc w:val="center"/>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新能源汽车技术主管、检测站技术负责人</w:t>
            </w:r>
          </w:p>
        </w:tc>
        <w:tc>
          <w:tcPr>
            <w:tcW w:w="5639" w:type="dxa"/>
          </w:tcPr>
          <w:p w14:paraId="2EE42D96">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1.握新能源汽车复杂故障诊断逻辑与排除方法；</w:t>
            </w:r>
          </w:p>
          <w:p w14:paraId="40F03CA0">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2.熟悉检测站设备校准与检测标准；</w:t>
            </w:r>
          </w:p>
          <w:p w14:paraId="20E06BA5">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3.能制定新能源汽车维修工艺方案并指导团队实施；</w:t>
            </w:r>
          </w:p>
          <w:p w14:paraId="29739FFC">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4.了解新能源汽车新技术（如 800V 高压平台、CTC 技术）的应用；</w:t>
            </w:r>
          </w:p>
          <w:p w14:paraId="6B98B75F">
            <w:pPr>
              <w:widowControl/>
              <w:jc w:val="left"/>
              <w:rPr>
                <w:rFonts w:asciiTheme="minorEastAsia" w:hAnsiTheme="minorEastAsia" w:cstheme="minorEastAsia"/>
                <w:kern w:val="0"/>
                <w:sz w:val="18"/>
                <w:szCs w:val="18"/>
                <w:highlight w:val="yellow"/>
                <w:lang w:bidi="ar"/>
              </w:rPr>
            </w:pPr>
            <w:r>
              <w:rPr>
                <w:rFonts w:hint="eastAsia" w:asciiTheme="minorEastAsia" w:hAnsiTheme="minorEastAsia" w:cstheme="minorEastAsia"/>
                <w:kern w:val="0"/>
                <w:sz w:val="18"/>
                <w:szCs w:val="18"/>
                <w:lang w:bidi="ar"/>
              </w:rPr>
              <w:t>5.具备一定的技术培训与管理能力。</w:t>
            </w:r>
          </w:p>
        </w:tc>
      </w:tr>
      <w:tr w14:paraId="3E228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05CE162C">
            <w:pPr>
              <w:widowControl/>
              <w:jc w:val="center"/>
              <w:rPr>
                <w:rFonts w:asciiTheme="minorEastAsia" w:hAnsiTheme="minorEastAsia" w:cstheme="minorEastAsia"/>
                <w:bCs/>
                <w:sz w:val="18"/>
                <w:szCs w:val="18"/>
              </w:rPr>
            </w:pPr>
            <w:r>
              <w:rPr>
                <w:rFonts w:hint="eastAsia" w:asciiTheme="minorEastAsia" w:hAnsiTheme="minorEastAsia" w:cstheme="minorEastAsia"/>
                <w:kern w:val="0"/>
                <w:sz w:val="18"/>
                <w:szCs w:val="18"/>
                <w:lang w:bidi="ar"/>
              </w:rPr>
              <w:t>迁移岗位</w:t>
            </w:r>
          </w:p>
        </w:tc>
        <w:tc>
          <w:tcPr>
            <w:tcW w:w="1777" w:type="dxa"/>
            <w:vAlign w:val="center"/>
          </w:tcPr>
          <w:p w14:paraId="5C7A8E4C">
            <w:pPr>
              <w:widowControl/>
              <w:jc w:val="center"/>
              <w:rPr>
                <w:rFonts w:asciiTheme="minorEastAsia" w:hAnsiTheme="minorEastAsia" w:cstheme="minorEastAsia"/>
                <w:bCs/>
                <w:sz w:val="18"/>
                <w:szCs w:val="18"/>
              </w:rPr>
            </w:pPr>
            <w:r>
              <w:rPr>
                <w:rFonts w:hint="eastAsia" w:asciiTheme="minorEastAsia" w:hAnsiTheme="minorEastAsia" w:cstheme="minorEastAsia"/>
                <w:sz w:val="18"/>
                <w:szCs w:val="18"/>
              </w:rPr>
              <w:t>新能源汽车服务经理、二手车鉴定评估师</w:t>
            </w:r>
          </w:p>
        </w:tc>
        <w:tc>
          <w:tcPr>
            <w:tcW w:w="5639" w:type="dxa"/>
          </w:tcPr>
          <w:p w14:paraId="53ACDDA0">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1.熟悉汽车维修服务流程与客户关系管理；</w:t>
            </w:r>
          </w:p>
          <w:p w14:paraId="407209FB">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2.能独立完成新能源汽车残值评估与事故车定损；</w:t>
            </w:r>
          </w:p>
          <w:p w14:paraId="33DDC570">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3.具备市场分析与服务方案优化能力；</w:t>
            </w:r>
          </w:p>
          <w:p w14:paraId="16835FD8">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4.掌握汽车保险理赔与法律法规相关知识；</w:t>
            </w:r>
          </w:p>
          <w:p w14:paraId="523C42F5">
            <w:pPr>
              <w:widowControl/>
              <w:jc w:val="left"/>
              <w:rPr>
                <w:rFonts w:asciiTheme="minorEastAsia" w:hAnsiTheme="minorEastAsia" w:cstheme="minorEastAsia"/>
                <w:bCs/>
                <w:sz w:val="18"/>
                <w:szCs w:val="18"/>
                <w:highlight w:val="yellow"/>
              </w:rPr>
            </w:pPr>
            <w:r>
              <w:rPr>
                <w:rFonts w:hint="eastAsia" w:asciiTheme="minorEastAsia" w:hAnsiTheme="minorEastAsia" w:cstheme="minorEastAsia"/>
                <w:kern w:val="0"/>
                <w:sz w:val="18"/>
                <w:szCs w:val="18"/>
                <w:lang w:bidi="ar"/>
              </w:rPr>
              <w:t>5.能运用数据分析工具提升服务效率。</w:t>
            </w:r>
          </w:p>
        </w:tc>
      </w:tr>
    </w:tbl>
    <w:p w14:paraId="65933CDB">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（三）职业能力和课程对应分析</w:t>
      </w:r>
    </w:p>
    <w:p w14:paraId="056B1157">
      <w:pPr>
        <w:pStyle w:val="2"/>
        <w:spacing w:before="0" w:after="0" w:line="40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表3  职业能力和课程对应分析表</w:t>
      </w:r>
    </w:p>
    <w:tbl>
      <w:tblPr>
        <w:tblStyle w:val="1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35"/>
        <w:gridCol w:w="2409"/>
        <w:gridCol w:w="3742"/>
        <w:gridCol w:w="1176"/>
      </w:tblGrid>
      <w:tr w14:paraId="68720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710" w:type="dxa"/>
            <w:vAlign w:val="center"/>
          </w:tcPr>
          <w:p w14:paraId="32DF46A2">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序号</w:t>
            </w:r>
          </w:p>
        </w:tc>
        <w:tc>
          <w:tcPr>
            <w:tcW w:w="1035" w:type="dxa"/>
            <w:vAlign w:val="center"/>
          </w:tcPr>
          <w:p w14:paraId="7898CDD2">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工作岗位</w:t>
            </w:r>
          </w:p>
        </w:tc>
        <w:tc>
          <w:tcPr>
            <w:tcW w:w="2409" w:type="dxa"/>
            <w:vAlign w:val="center"/>
          </w:tcPr>
          <w:p w14:paraId="4361AA5D">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岗位工作任务</w:t>
            </w:r>
          </w:p>
        </w:tc>
        <w:tc>
          <w:tcPr>
            <w:tcW w:w="3742" w:type="dxa"/>
            <w:vAlign w:val="center"/>
          </w:tcPr>
          <w:p w14:paraId="569F04C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职业能力</w:t>
            </w:r>
          </w:p>
        </w:tc>
        <w:tc>
          <w:tcPr>
            <w:tcW w:w="1176" w:type="dxa"/>
            <w:vAlign w:val="center"/>
          </w:tcPr>
          <w:p w14:paraId="2A9A370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核心课程</w:t>
            </w:r>
          </w:p>
        </w:tc>
      </w:tr>
      <w:tr w14:paraId="159C1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5" w:hRule="atLeast"/>
          <w:jc w:val="center"/>
        </w:trPr>
        <w:tc>
          <w:tcPr>
            <w:tcW w:w="710" w:type="dxa"/>
            <w:vAlign w:val="center"/>
          </w:tcPr>
          <w:p w14:paraId="4BC223B3">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w:t>
            </w:r>
          </w:p>
        </w:tc>
        <w:tc>
          <w:tcPr>
            <w:tcW w:w="1035" w:type="dxa"/>
            <w:vAlign w:val="center"/>
          </w:tcPr>
          <w:p w14:paraId="2954D299">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新能源汽车机电维修工</w:t>
            </w:r>
          </w:p>
        </w:tc>
        <w:tc>
          <w:tcPr>
            <w:tcW w:w="2409" w:type="dxa"/>
            <w:vAlign w:val="center"/>
          </w:tcPr>
          <w:p w14:paraId="66D7459A">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1.新能源汽车日常维护与保养；</w:t>
            </w:r>
          </w:p>
          <w:p w14:paraId="1178D14C">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2.电池组、驱动电机系统故障诊断与维修；</w:t>
            </w:r>
          </w:p>
          <w:p w14:paraId="3EB83B77">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3.高压电控系统检测与部件更换。</w:t>
            </w:r>
          </w:p>
        </w:tc>
        <w:tc>
          <w:tcPr>
            <w:tcW w:w="3742" w:type="dxa"/>
            <w:vAlign w:val="center"/>
          </w:tcPr>
          <w:p w14:paraId="11A3CB1D">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1.具备高压安全操作规范执行能力；</w:t>
            </w:r>
          </w:p>
          <w:p w14:paraId="34A05130">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2.能使用万用表、示波器等工具进行电路检测；</w:t>
            </w:r>
          </w:p>
          <w:p w14:paraId="60E3E654">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3.掌握 “三电” 系统故障码解读与数据流分析能力；</w:t>
            </w:r>
          </w:p>
          <w:p w14:paraId="1756FCB6">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4.具有团队协作与沟通能力。</w:t>
            </w:r>
          </w:p>
        </w:tc>
        <w:tc>
          <w:tcPr>
            <w:tcW w:w="1176" w:type="dxa"/>
            <w:vAlign w:val="center"/>
          </w:tcPr>
          <w:p w14:paraId="2AE256DB">
            <w:pPr>
              <w:widowControl/>
              <w:jc w:val="left"/>
              <w:rPr>
                <w:rFonts w:asciiTheme="minorEastAsia" w:hAnsiTheme="minorEastAsia" w:cstheme="minorEastAsia"/>
                <w:kern w:val="0"/>
                <w:sz w:val="18"/>
                <w:szCs w:val="18"/>
                <w:lang w:bidi="ar"/>
              </w:rPr>
            </w:pPr>
            <w:r>
              <w:rPr>
                <w:rFonts w:hint="eastAsia" w:ascii="Times New Roman" w:hAnsi="Times New Roman" w:eastAsia="宋体" w:cs="Times New Roman"/>
                <w:sz w:val="18"/>
                <w:szCs w:val="18"/>
              </w:rPr>
              <w:t>新能源汽车综合故障诊断、驱动电机系统检测与维修、动力电池管理及维护技术</w:t>
            </w:r>
          </w:p>
        </w:tc>
      </w:tr>
      <w:tr w14:paraId="193A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710" w:type="dxa"/>
            <w:vAlign w:val="center"/>
          </w:tcPr>
          <w:p w14:paraId="3559FABE">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w:t>
            </w:r>
          </w:p>
        </w:tc>
        <w:tc>
          <w:tcPr>
            <w:tcW w:w="1035" w:type="dxa"/>
            <w:vAlign w:val="center"/>
          </w:tcPr>
          <w:p w14:paraId="25744999">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充电设备维护员</w:t>
            </w:r>
          </w:p>
        </w:tc>
        <w:tc>
          <w:tcPr>
            <w:tcW w:w="2409" w:type="dxa"/>
            <w:vAlign w:val="center"/>
          </w:tcPr>
          <w:p w14:paraId="516C4DDE">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1.充电桩日常巡检与维护；</w:t>
            </w:r>
          </w:p>
          <w:p w14:paraId="0C992452">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2.充电系统通信故障排查；</w:t>
            </w:r>
          </w:p>
          <w:p w14:paraId="025321F8">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3.充电接口安全性能检测。</w:t>
            </w:r>
          </w:p>
        </w:tc>
        <w:tc>
          <w:tcPr>
            <w:tcW w:w="3742" w:type="dxa"/>
            <w:vAlign w:val="center"/>
          </w:tcPr>
          <w:p w14:paraId="57A43ABA">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1.熟悉充电桩结构与工作原理；</w:t>
            </w:r>
          </w:p>
          <w:p w14:paraId="0CD63067">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2.能分析充电异常（如无法充电、跳枪）的原因；</w:t>
            </w:r>
          </w:p>
          <w:p w14:paraId="4422A540">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3.掌握充电系统绝缘检测方法；</w:t>
            </w:r>
          </w:p>
          <w:p w14:paraId="4B442DFB">
            <w:pPr>
              <w:widowControl/>
              <w:jc w:val="left"/>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4.具备安全防护意识与应急处理能力。</w:t>
            </w:r>
          </w:p>
        </w:tc>
        <w:tc>
          <w:tcPr>
            <w:tcW w:w="1176" w:type="dxa"/>
            <w:vAlign w:val="center"/>
          </w:tcPr>
          <w:p w14:paraId="0911677B">
            <w:pPr>
              <w:widowControl/>
              <w:jc w:val="left"/>
              <w:rPr>
                <w:rFonts w:asciiTheme="minorEastAsia" w:hAnsiTheme="minorEastAsia" w:cstheme="minorEastAsia"/>
                <w:kern w:val="0"/>
                <w:sz w:val="18"/>
                <w:szCs w:val="18"/>
                <w:highlight w:val="yellow"/>
                <w:lang w:bidi="ar"/>
              </w:rPr>
            </w:pPr>
            <w:r>
              <w:rPr>
                <w:rFonts w:hint="eastAsia" w:ascii="Times New Roman" w:hAnsi="Times New Roman" w:eastAsia="宋体" w:cs="Times New Roman"/>
                <w:sz w:val="18"/>
                <w:szCs w:val="18"/>
              </w:rPr>
              <w:t>新能源汽车充电设备的维护、新能源汽车高压安全与防护</w:t>
            </w:r>
          </w:p>
        </w:tc>
      </w:tr>
      <w:tr w14:paraId="0B22E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10" w:type="dxa"/>
            <w:vAlign w:val="center"/>
          </w:tcPr>
          <w:p w14:paraId="62386F63">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w:t>
            </w:r>
          </w:p>
        </w:tc>
        <w:tc>
          <w:tcPr>
            <w:tcW w:w="1035" w:type="dxa"/>
            <w:vAlign w:val="center"/>
          </w:tcPr>
          <w:p w14:paraId="71AF9D70">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汽车维修业务接待</w:t>
            </w:r>
          </w:p>
        </w:tc>
        <w:tc>
          <w:tcPr>
            <w:tcW w:w="2409" w:type="dxa"/>
            <w:vAlign w:val="center"/>
          </w:tcPr>
          <w:p w14:paraId="13DD3F63">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1.客户车辆故障描述记录与初步诊断；</w:t>
            </w:r>
          </w:p>
          <w:p w14:paraId="6A80E1B2">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2.维修方案沟通与报价；</w:t>
            </w:r>
          </w:p>
          <w:p w14:paraId="6B5A216A">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3.维修进度跟踪与交车服务。</w:t>
            </w:r>
          </w:p>
        </w:tc>
        <w:tc>
          <w:tcPr>
            <w:tcW w:w="3742" w:type="dxa"/>
            <w:vAlign w:val="center"/>
          </w:tcPr>
          <w:p w14:paraId="44DAEE08">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1.具备良好的语言表达与沟通协调能力；</w:t>
            </w:r>
          </w:p>
          <w:p w14:paraId="482FF32B">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2.能准确理解客户需求并转化为维修任务；</w:t>
            </w:r>
          </w:p>
          <w:p w14:paraId="06C1D48C">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3.熟悉维修流程与配件管理规范；</w:t>
            </w:r>
          </w:p>
          <w:p w14:paraId="0991FB92">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4.具有客户满意度提升意识。</w:t>
            </w:r>
          </w:p>
        </w:tc>
        <w:tc>
          <w:tcPr>
            <w:tcW w:w="1176" w:type="dxa"/>
            <w:vAlign w:val="center"/>
          </w:tcPr>
          <w:p w14:paraId="3CA57269">
            <w:pPr>
              <w:widowControl/>
              <w:rPr>
                <w:rFonts w:asciiTheme="minorEastAsia" w:hAnsiTheme="minorEastAsia" w:cstheme="minorEastAsia"/>
                <w:kern w:val="0"/>
                <w:sz w:val="18"/>
                <w:szCs w:val="18"/>
                <w:highlight w:val="yellow"/>
                <w:lang w:bidi="ar"/>
              </w:rPr>
            </w:pPr>
            <w:r>
              <w:rPr>
                <w:rFonts w:hint="eastAsia" w:ascii="Times New Roman" w:hAnsi="Times New Roman" w:eastAsia="宋体" w:cs="Times New Roman"/>
                <w:sz w:val="18"/>
                <w:szCs w:val="18"/>
              </w:rPr>
              <w:t>汽车维修接待实务、汽车保险与理赔</w:t>
            </w:r>
          </w:p>
        </w:tc>
      </w:tr>
      <w:tr w14:paraId="7291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10" w:type="dxa"/>
            <w:vAlign w:val="center"/>
          </w:tcPr>
          <w:p w14:paraId="6D476422">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w:t>
            </w:r>
          </w:p>
        </w:tc>
        <w:tc>
          <w:tcPr>
            <w:tcW w:w="1035" w:type="dxa"/>
            <w:vAlign w:val="center"/>
          </w:tcPr>
          <w:p w14:paraId="01451758">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新能源汽车技术主管</w:t>
            </w:r>
          </w:p>
        </w:tc>
        <w:tc>
          <w:tcPr>
            <w:tcW w:w="2409" w:type="dxa"/>
            <w:vAlign w:val="center"/>
          </w:tcPr>
          <w:p w14:paraId="102DFFF7">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1.复杂故障会诊与技术方案制定；</w:t>
            </w:r>
          </w:p>
          <w:p w14:paraId="76C5DD74">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2.维修团队技术培训与指导；</w:t>
            </w:r>
          </w:p>
          <w:p w14:paraId="436055E7">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3.维修质量监督与工艺优化。</w:t>
            </w:r>
          </w:p>
        </w:tc>
        <w:tc>
          <w:tcPr>
            <w:tcW w:w="3742" w:type="dxa"/>
            <w:vAlign w:val="center"/>
          </w:tcPr>
          <w:p w14:paraId="55415E26">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1.具备系统思维与复杂问题分析能力；</w:t>
            </w:r>
          </w:p>
          <w:p w14:paraId="1AAC905C">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2.掌握新能源汽车新技术发展动态；</w:t>
            </w:r>
          </w:p>
          <w:p w14:paraId="3C84CCFD">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3.能制定标准化维修流程与质量标准；</w:t>
            </w:r>
          </w:p>
          <w:p w14:paraId="0BE493D7">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4.具有项目管理与创新改进能力。</w:t>
            </w:r>
          </w:p>
        </w:tc>
        <w:tc>
          <w:tcPr>
            <w:tcW w:w="1176" w:type="dxa"/>
            <w:vAlign w:val="center"/>
          </w:tcPr>
          <w:p w14:paraId="393D7989">
            <w:pPr>
              <w:widowControl/>
              <w:jc w:val="left"/>
              <w:rPr>
                <w:rFonts w:asciiTheme="minorEastAsia" w:hAnsiTheme="minorEastAsia" w:cstheme="minorEastAsia"/>
                <w:kern w:val="0"/>
                <w:sz w:val="18"/>
                <w:szCs w:val="18"/>
                <w:highlight w:val="yellow"/>
                <w:lang w:bidi="ar"/>
              </w:rPr>
            </w:pPr>
            <w:r>
              <w:rPr>
                <w:rFonts w:hint="eastAsia" w:ascii="Times New Roman" w:hAnsi="Times New Roman" w:eastAsia="宋体" w:cs="Times New Roman"/>
                <w:sz w:val="18"/>
                <w:szCs w:val="18"/>
              </w:rPr>
              <w:t>新能源汽车综合故障诊断、汽车维修企业管理</w:t>
            </w:r>
          </w:p>
        </w:tc>
      </w:tr>
      <w:tr w14:paraId="4DDE8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710" w:type="dxa"/>
            <w:vAlign w:val="center"/>
          </w:tcPr>
          <w:p w14:paraId="59E70C87">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5</w:t>
            </w:r>
          </w:p>
        </w:tc>
        <w:tc>
          <w:tcPr>
            <w:tcW w:w="1035" w:type="dxa"/>
            <w:vAlign w:val="center"/>
          </w:tcPr>
          <w:p w14:paraId="549FD4D6">
            <w:pPr>
              <w:widowControl/>
              <w:jc w:val="center"/>
              <w:rPr>
                <w:rFonts w:asciiTheme="minorEastAsia" w:hAnsiTheme="minorEastAsia" w:cstheme="minorEastAsia"/>
                <w:kern w:val="0"/>
                <w:sz w:val="18"/>
                <w:szCs w:val="18"/>
                <w:lang w:bidi="ar"/>
              </w:rPr>
            </w:pPr>
            <w:r>
              <w:rPr>
                <w:rFonts w:hint="eastAsia" w:asciiTheme="minorEastAsia" w:hAnsiTheme="minorEastAsia" w:cstheme="minorEastAsia"/>
                <w:sz w:val="18"/>
                <w:szCs w:val="18"/>
              </w:rPr>
              <w:t>二手车鉴定评估师</w:t>
            </w:r>
          </w:p>
        </w:tc>
        <w:tc>
          <w:tcPr>
            <w:tcW w:w="2409" w:type="dxa"/>
            <w:vAlign w:val="center"/>
          </w:tcPr>
          <w:p w14:paraId="1370D002">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1.新能源汽车技术状况检测；</w:t>
            </w:r>
          </w:p>
          <w:p w14:paraId="335B4353">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2.电池衰减程度评估与寿命预测；</w:t>
            </w:r>
          </w:p>
          <w:p w14:paraId="4FE71082">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3.车辆残值估算与报告撰写。</w:t>
            </w:r>
          </w:p>
        </w:tc>
        <w:tc>
          <w:tcPr>
            <w:tcW w:w="3742" w:type="dxa"/>
            <w:vAlign w:val="center"/>
          </w:tcPr>
          <w:p w14:paraId="5A331690">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1.熟悉新能源汽车鉴定评估标准；</w:t>
            </w:r>
          </w:p>
          <w:p w14:paraId="601FE799">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2.能使用专业设备检测电池健康状态（SOH）；</w:t>
            </w:r>
          </w:p>
          <w:p w14:paraId="352EEE8F">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3.掌握车辆历史数据查询与分析方法；</w:t>
            </w:r>
          </w:p>
          <w:p w14:paraId="54C0DB21">
            <w:pPr>
              <w:widowControl/>
              <w:rPr>
                <w:rFonts w:asciiTheme="minorEastAsia" w:hAnsiTheme="minorEastAsia" w:cstheme="minorEastAsia"/>
                <w:kern w:val="0"/>
                <w:sz w:val="18"/>
                <w:szCs w:val="18"/>
                <w:lang w:bidi="ar"/>
              </w:rPr>
            </w:pPr>
            <w:r>
              <w:rPr>
                <w:rFonts w:hint="eastAsia" w:asciiTheme="minorEastAsia" w:hAnsiTheme="minorEastAsia" w:cstheme="minorEastAsia"/>
                <w:kern w:val="0"/>
                <w:sz w:val="18"/>
                <w:szCs w:val="18"/>
                <w:lang w:bidi="ar"/>
              </w:rPr>
              <w:t>4.具备客观公正的职业素养</w:t>
            </w:r>
          </w:p>
        </w:tc>
        <w:tc>
          <w:tcPr>
            <w:tcW w:w="1176" w:type="dxa"/>
            <w:vAlign w:val="center"/>
          </w:tcPr>
          <w:p w14:paraId="5DA8A1E3">
            <w:pPr>
              <w:widowControl/>
              <w:jc w:val="left"/>
              <w:rPr>
                <w:rFonts w:asciiTheme="minorEastAsia" w:hAnsiTheme="minorEastAsia" w:cstheme="minorEastAsia"/>
                <w:kern w:val="0"/>
                <w:sz w:val="18"/>
                <w:szCs w:val="18"/>
                <w:highlight w:val="yellow"/>
                <w:lang w:bidi="ar"/>
              </w:rPr>
            </w:pPr>
            <w:r>
              <w:rPr>
                <w:rFonts w:hint="eastAsia" w:ascii="Times New Roman" w:hAnsi="Times New Roman" w:eastAsia="宋体" w:cs="Times New Roman"/>
                <w:sz w:val="18"/>
                <w:szCs w:val="18"/>
              </w:rPr>
              <w:t>二手车鉴定与评估、动力电池管理及维护技术</w:t>
            </w:r>
          </w:p>
        </w:tc>
      </w:tr>
    </w:tbl>
    <w:p w14:paraId="3BC50874">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五、培养目标及培养规格</w:t>
      </w:r>
    </w:p>
    <w:p w14:paraId="6A4C0E13">
      <w:pPr>
        <w:overflowPunct w:val="0"/>
        <w:adjustRightInd w:val="0"/>
        <w:spacing w:before="62" w:beforeLines="20" w:after="62" w:afterLines="20" w:line="240" w:lineRule="exact"/>
        <w:ind w:firstLine="422" w:firstLineChars="200"/>
        <w:outlineLvl w:val="0"/>
        <w:rPr>
          <w:rFonts w:ascii="宋体" w:hAnsi="宋体" w:eastAsia="宋体" w:cs="宋体"/>
          <w:b/>
          <w:szCs w:val="32"/>
        </w:rPr>
      </w:pPr>
      <w:r>
        <w:rPr>
          <w:rFonts w:hint="eastAsia" w:ascii="宋体" w:hAnsi="宋体" w:eastAsia="宋体" w:cs="宋体"/>
          <w:b/>
          <w:szCs w:val="32"/>
        </w:rPr>
        <w:t>（一）培养目标</w:t>
      </w:r>
    </w:p>
    <w:p w14:paraId="0332A49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本专业培养社会主义现代化建设和地方社会经济发展需要，理想信念坚定，德智体美劳全面发展，具有新能源汽车检测、维修、服务等方面的基本理论、基本知识和基本技能，具备新能源汽车检测与维修专业核心能力，面向汽车服务业、汽车制造业等行业，在汽车运用工程技术人员、汽车维修工等职业群，能够从事新能源汽车机电维修、检测、充电设备维护、维修业务接待、二手车鉴定评估等工作，具有良好职业道德、扎实理论基础、较强实践能力、创新创业意识和职业岗位适应能力的高素质复合型技术技能人才。</w:t>
      </w:r>
    </w:p>
    <w:p w14:paraId="3A013E3D">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（二）培养规格</w:t>
      </w:r>
    </w:p>
    <w:p w14:paraId="623392C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本专业毕业生应在知识、能力和素质方面达到以下要求：</w:t>
      </w:r>
    </w:p>
    <w:p w14:paraId="4C49C4C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1.知识要求</w:t>
      </w:r>
    </w:p>
    <w:p w14:paraId="2AACE92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（1）掌握必备的数学、物理、电工电子等自然科学基础知识，熟悉汽车维修相关法律法规、环境保护及安全操作规程；</w:t>
      </w:r>
    </w:p>
    <w:p w14:paraId="048F024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（2）掌握新能源汽车构造、“三电”系统（电池、电机、电控）工作原理等专业基础知识；</w:t>
      </w:r>
    </w:p>
    <w:p w14:paraId="753BE46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（3）掌握新能源汽车检测设备（如高压绝缘测试仪、电池检测仪）的工作原理与使用方法；</w:t>
      </w:r>
    </w:p>
    <w:p w14:paraId="4ECDDBD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（4）掌握充电系统组成、通信协议及维护规范；</w:t>
      </w:r>
    </w:p>
    <w:p w14:paraId="728B4D8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（5）了解智能网联汽车基础技术（如ADAS、车联网）在新能源汽车中的应用；</w:t>
      </w:r>
    </w:p>
    <w:p w14:paraId="2F9DB77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（6）熟悉二手车鉴定评估方法与汽车保险理赔流程。</w:t>
      </w:r>
    </w:p>
    <w:p w14:paraId="3EDD040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2.能力要求</w:t>
      </w:r>
    </w:p>
    <w:p w14:paraId="038547D9">
      <w:pPr>
        <w:adjustRightInd w:val="0"/>
        <w:snapToGrid w:val="0"/>
        <w:spacing w:line="400" w:lineRule="exact"/>
        <w:ind w:firstLine="420" w:firstLineChars="200"/>
        <w:rPr>
          <w:rFonts w:ascii="宋体" w:hAnsi="宋体" w:eastAsia="宋体" w:cs="宋体"/>
          <w:bCs/>
          <w:szCs w:val="21"/>
        </w:rPr>
      </w:pPr>
      <w:bookmarkStart w:id="15" w:name="_Toc8440"/>
      <w:r>
        <w:rPr>
          <w:rFonts w:hint="eastAsia" w:ascii="宋体" w:hAnsi="宋体" w:eastAsia="宋体" w:cs="宋体"/>
          <w:bCs/>
          <w:szCs w:val="21"/>
        </w:rPr>
        <w:t>（1）专业能力：</w:t>
      </w:r>
    </w:p>
    <w:p w14:paraId="7361221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①能按照安全规范进行新能源汽车高压系统断电与绝缘检测；</w:t>
      </w:r>
    </w:p>
    <w:p w14:paraId="24DCFAD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②具备新能源汽车“三电”系统故障诊断与排除能力；</w:t>
      </w:r>
    </w:p>
    <w:p w14:paraId="6AAD650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③能操作专用设备进行电池组均衡维护与电机性能测试；</w:t>
      </w:r>
    </w:p>
    <w:p w14:paraId="794F46E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④具备充电设备安装、调试与故障排查能力；</w:t>
      </w:r>
    </w:p>
    <w:p w14:paraId="0CFD77C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⑤能读懂新能源汽车电路图、维修手册并制定维修方案。</w:t>
      </w:r>
    </w:p>
    <w:p w14:paraId="6EEDAF0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（2）方法能力：</w:t>
      </w:r>
    </w:p>
    <w:p w14:paraId="02CC362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①能运用数据分析工具（如故障诊断仪）解读车辆数据流；</w:t>
      </w:r>
    </w:p>
    <w:p w14:paraId="6ABEC69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②具备查阅技术资料、自主学习新技术（如800V平台维修）的能力；</w:t>
      </w:r>
    </w:p>
    <w:p w14:paraId="0178400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③能根据国家标准与厂家规范开展检测维修工作；</w:t>
      </w:r>
    </w:p>
    <w:p w14:paraId="6DA6A5B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④具有问题分析与逻辑推理能力，能通过现象定位故障根源。</w:t>
      </w:r>
    </w:p>
    <w:p w14:paraId="7117BD6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（3）社会能力：</w:t>
      </w:r>
    </w:p>
    <w:p w14:paraId="3AC2F6E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①具有良好的沟通表达与客户服务能力；</w:t>
      </w:r>
    </w:p>
    <w:p w14:paraId="6053E0D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②能在团队中协作完成复杂维修任务；</w:t>
      </w:r>
    </w:p>
    <w:p w14:paraId="436D453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③具备安全生产意识与应急处理能力；</w:t>
      </w:r>
    </w:p>
    <w:p w14:paraId="13F14AF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④具有诚信服务、客户至上的职业操守。</w:t>
      </w:r>
    </w:p>
    <w:p w14:paraId="2061A5D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3.素质要求</w:t>
      </w:r>
    </w:p>
    <w:p w14:paraId="5BF63F4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（1）具有正确的世界观、人生观和价值观，拥护中国共产党的领导；</w:t>
      </w:r>
    </w:p>
    <w:p w14:paraId="290F8A2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（2）遵纪守法，爱岗敬业，具有良好的劳动习惯和工匠精神；</w:t>
      </w:r>
    </w:p>
    <w:p w14:paraId="6F3F9FE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（3）具备一定的科学人文素养、创新意识和终身学习能力；</w:t>
      </w:r>
    </w:p>
    <w:p w14:paraId="6ACA14AF">
      <w:pPr>
        <w:adjustRightInd w:val="0"/>
        <w:snapToGrid w:val="0"/>
        <w:spacing w:line="400" w:lineRule="exact"/>
        <w:ind w:firstLine="420" w:firstLineChars="200"/>
      </w:pPr>
      <w:r>
        <w:rPr>
          <w:rFonts w:hint="eastAsia" w:ascii="宋体" w:hAnsi="宋体" w:eastAsia="宋体" w:cs="宋体"/>
          <w:bCs/>
          <w:szCs w:val="21"/>
        </w:rPr>
        <w:t>（4）具有团队协作精神、安全生产意识和社会责任感。</w:t>
      </w:r>
    </w:p>
    <w:p w14:paraId="735860C9">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六、</w:t>
      </w:r>
      <w:bookmarkEnd w:id="15"/>
      <w:r>
        <w:rPr>
          <w:rFonts w:hint="eastAsia" w:ascii="黑体" w:hAnsi="黑体" w:eastAsia="黑体" w:cs="黑体"/>
          <w:bCs/>
          <w:sz w:val="24"/>
        </w:rPr>
        <w:t>课程设置及要求</w:t>
      </w:r>
    </w:p>
    <w:p w14:paraId="1301B1AE">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（一）公共基础课程</w:t>
      </w:r>
    </w:p>
    <w:p w14:paraId="6D23401B">
      <w:pPr>
        <w:adjustRightInd w:val="0"/>
        <w:snapToGrid w:val="0"/>
        <w:spacing w:line="400" w:lineRule="exact"/>
        <w:ind w:firstLine="404" w:firstLineChars="200"/>
        <w:rPr>
          <w:color w:val="000000"/>
          <w:spacing w:val="-4"/>
        </w:rPr>
      </w:pPr>
      <w:r>
        <w:rPr>
          <w:rFonts w:hint="eastAsia"/>
          <w:spacing w:val="-4"/>
        </w:rPr>
        <w:t>包括《思想道德与法治》、《毛泽东思想和中国特色社会主义理论体系概论》、《习近平新时代中国特色社会主义思想概论》、《形势与政策》、《军事理论》、《军事技能》、《大学英语》、《大学语文》、《高等数学</w:t>
      </w:r>
      <w:r>
        <w:rPr>
          <w:rFonts w:ascii="Times New Roman" w:hAnsi="Times New Roman" w:cs="Times New Roman"/>
          <w:spacing w:val="-4"/>
        </w:rPr>
        <w:t>A》</w:t>
      </w:r>
      <w:r>
        <w:rPr>
          <w:rFonts w:hint="eastAsia" w:ascii="Times New Roman" w:hAnsi="Times New Roman" w:cs="Times New Roman"/>
          <w:spacing w:val="-4"/>
        </w:rPr>
        <w:t>、</w:t>
      </w:r>
      <w:r>
        <w:rPr>
          <w:rFonts w:ascii="Times New Roman" w:hAnsi="Times New Roman" w:cs="Times New Roman"/>
          <w:spacing w:val="-4"/>
        </w:rPr>
        <w:t>《</w:t>
      </w:r>
      <w:r>
        <w:rPr>
          <w:rFonts w:hint="eastAsia"/>
          <w:spacing w:val="-4"/>
        </w:rPr>
        <w:t>大学体育》、《信息技术与人工智能基础》、《大学生职业生涯规划》、《创业基础》、《就业指导》、《国家安全教育》、《大学生心理健康》、《劳动教育》</w:t>
      </w:r>
      <w:r>
        <w:rPr>
          <w:rFonts w:hint="eastAsia"/>
          <w:color w:val="000000"/>
          <w:spacing w:val="-4"/>
        </w:rPr>
        <w:t>等17门课43.5 学分。</w:t>
      </w:r>
    </w:p>
    <w:p w14:paraId="17330860">
      <w:pPr>
        <w:adjustRightInd w:val="0"/>
        <w:snapToGrid w:val="0"/>
        <w:spacing w:line="400" w:lineRule="exact"/>
        <w:ind w:firstLine="422" w:firstLineChars="200"/>
        <w:rPr>
          <w:rFonts w:ascii="宋体" w:hAnsi="宋体" w:eastAsia="宋体" w:cs="宋体"/>
          <w:b/>
          <w:szCs w:val="21"/>
          <w:lang w:bidi="ar"/>
        </w:rPr>
      </w:pPr>
      <w:r>
        <w:rPr>
          <w:rFonts w:hint="eastAsia" w:ascii="宋体" w:hAnsi="宋体" w:cs="宋体"/>
          <w:b/>
          <w:szCs w:val="21"/>
          <w:lang w:bidi="ar"/>
        </w:rPr>
        <w:t>1.思想道德与法治</w:t>
      </w:r>
    </w:p>
    <w:p w14:paraId="36173586">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23A4D091">
      <w:pPr>
        <w:adjustRightInd w:val="0"/>
        <w:snapToGrid w:val="0"/>
        <w:spacing w:line="400" w:lineRule="exact"/>
        <w:ind w:firstLine="404" w:firstLineChars="200"/>
        <w:rPr>
          <w:rFonts w:ascii="Calibri" w:hAnsi="Calibri" w:eastAsia="宋体" w:cs="Times New Roman"/>
          <w:spacing w:val="-4"/>
          <w:szCs w:val="21"/>
        </w:rPr>
      </w:pPr>
      <w:r>
        <w:rPr>
          <w:rFonts w:ascii="Times New Roman" w:hAnsi="Times New Roman" w:eastAsia="宋体" w:cs="Times New Roman"/>
          <w:spacing w:val="-4"/>
          <w:szCs w:val="21"/>
          <w:lang w:bidi="ar"/>
        </w:rPr>
        <w:t>（1）</w:t>
      </w:r>
      <w:r>
        <w:rPr>
          <w:rFonts w:hint="eastAsia" w:ascii="宋体" w:hAnsi="宋体" w:eastAsia="宋体" w:cs="宋体"/>
          <w:spacing w:val="-4"/>
          <w:szCs w:val="21"/>
          <w:lang w:bidi="ar"/>
        </w:rPr>
        <w:t>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4E9466FA">
      <w:pPr>
        <w:adjustRightInd w:val="0"/>
        <w:snapToGrid w:val="0"/>
        <w:spacing w:line="400" w:lineRule="exact"/>
        <w:ind w:firstLine="404" w:firstLineChars="200"/>
        <w:rPr>
          <w:rFonts w:ascii="Calibri" w:hAnsi="Calibri" w:eastAsia="宋体" w:cs="Times New Roman"/>
          <w:spacing w:val="-4"/>
          <w:szCs w:val="21"/>
        </w:rPr>
      </w:pPr>
      <w:r>
        <w:rPr>
          <w:rFonts w:hint="eastAsia" w:ascii="Times New Roman" w:hAnsi="Times New Roman" w:eastAsia="宋体" w:cs="Times New Roman"/>
          <w:spacing w:val="-4"/>
          <w:szCs w:val="21"/>
          <w:lang w:bidi="ar"/>
        </w:rPr>
        <w:t>（</w:t>
      </w:r>
      <w:r>
        <w:rPr>
          <w:rFonts w:ascii="Times New Roman" w:hAnsi="Times New Roman" w:eastAsia="宋体" w:cs="Times New Roman"/>
          <w:spacing w:val="-4"/>
          <w:szCs w:val="21"/>
          <w:lang w:bidi="ar"/>
        </w:rPr>
        <w:t>2</w:t>
      </w:r>
      <w:r>
        <w:rPr>
          <w:rFonts w:hint="eastAsia" w:ascii="Times New Roman" w:hAnsi="Times New Roman" w:eastAsia="宋体" w:cs="Times New Roman"/>
          <w:spacing w:val="-4"/>
          <w:szCs w:val="21"/>
          <w:lang w:bidi="ar"/>
        </w:rPr>
        <w:t>）能</w:t>
      </w:r>
      <w:r>
        <w:rPr>
          <w:rFonts w:hint="eastAsia" w:ascii="宋体" w:hAnsi="宋体" w:eastAsia="宋体" w:cs="宋体"/>
          <w:spacing w:val="-4"/>
          <w:szCs w:val="21"/>
          <w:lang w:bidi="ar"/>
        </w:rPr>
        <w:t>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23F6E68B">
      <w:pPr>
        <w:adjustRightInd w:val="0"/>
        <w:snapToGrid w:val="0"/>
        <w:spacing w:line="400" w:lineRule="exact"/>
        <w:ind w:firstLine="404" w:firstLineChars="200"/>
        <w:rPr>
          <w:rFonts w:ascii="Calibri" w:hAnsi="Calibri" w:eastAsia="宋体" w:cs="Times New Roman"/>
          <w:spacing w:val="-4"/>
          <w:szCs w:val="21"/>
        </w:rPr>
      </w:pPr>
      <w:r>
        <w:rPr>
          <w:rFonts w:hint="eastAsia" w:ascii="Times New Roman" w:hAnsi="Times New Roman" w:eastAsia="宋体" w:cs="Times New Roman"/>
          <w:spacing w:val="-4"/>
          <w:szCs w:val="21"/>
          <w:lang w:bidi="ar"/>
        </w:rPr>
        <w:t>（</w:t>
      </w:r>
      <w:r>
        <w:rPr>
          <w:rFonts w:ascii="Times New Roman" w:hAnsi="Times New Roman" w:eastAsia="宋体" w:cs="Times New Roman"/>
          <w:spacing w:val="-4"/>
          <w:szCs w:val="21"/>
          <w:lang w:bidi="ar"/>
        </w:rPr>
        <w:t>3</w:t>
      </w:r>
      <w:r>
        <w:rPr>
          <w:rFonts w:hint="eastAsia" w:ascii="Times New Roman" w:hAnsi="Times New Roman" w:eastAsia="宋体" w:cs="Times New Roman"/>
          <w:spacing w:val="-4"/>
          <w:szCs w:val="21"/>
          <w:lang w:bidi="ar"/>
        </w:rPr>
        <w:t>）素质目</w:t>
      </w:r>
      <w:r>
        <w:rPr>
          <w:rFonts w:hint="eastAsia" w:ascii="宋体" w:hAnsi="宋体" w:eastAsia="宋体" w:cs="宋体"/>
          <w:spacing w:val="-4"/>
          <w:szCs w:val="21"/>
          <w:lang w:bidi="ar"/>
        </w:rPr>
        <w:t>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7506971E">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69B17825">
      <w:pPr>
        <w:adjustRightInd w:val="0"/>
        <w:snapToGrid w:val="0"/>
        <w:spacing w:line="400" w:lineRule="exact"/>
        <w:ind w:firstLine="420" w:firstLineChars="200"/>
        <w:rPr>
          <w:rFonts w:ascii="Calibri" w:hAnsi="Calibri" w:eastAsia="宋体" w:cs="Times New Roman"/>
          <w:szCs w:val="21"/>
        </w:rPr>
      </w:pPr>
      <w:r>
        <w:rPr>
          <w:rFonts w:hint="eastAsia" w:ascii="宋体" w:hAnsi="宋体" w:eastAsia="宋体" w:cs="宋体"/>
          <w:szCs w:val="21"/>
          <w:lang w:bidi="ar"/>
        </w:rPr>
        <w:t>《思想道德与法治》是一门融思想性、政治性、科学性、理论性、实践性于一体的思想政治理论课，是高校思想政治理论课的必修课程，理论学时</w:t>
      </w:r>
      <w:r>
        <w:rPr>
          <w:rFonts w:ascii="Calibri" w:hAnsi="Calibri" w:eastAsia="宋体" w:cs="Calibri"/>
          <w:szCs w:val="21"/>
          <w:lang w:bidi="ar"/>
        </w:rPr>
        <w:t>40</w:t>
      </w:r>
      <w:r>
        <w:rPr>
          <w:rFonts w:hint="eastAsia" w:ascii="宋体" w:hAnsi="宋体" w:eastAsia="宋体" w:cs="宋体"/>
          <w:szCs w:val="21"/>
          <w:lang w:bidi="ar"/>
        </w:rPr>
        <w:t>，实践学时</w:t>
      </w:r>
      <w:r>
        <w:rPr>
          <w:rFonts w:ascii="Calibri" w:hAnsi="Calibri" w:eastAsia="宋体" w:cs="Calibri"/>
          <w:szCs w:val="21"/>
          <w:lang w:bidi="ar"/>
        </w:rPr>
        <w:t>8</w:t>
      </w:r>
      <w:r>
        <w:rPr>
          <w:rFonts w:hint="eastAsia" w:ascii="宋体" w:hAnsi="宋体" w:eastAsia="宋体" w:cs="宋体"/>
          <w:szCs w:val="21"/>
          <w:lang w:bidi="ar"/>
        </w:rPr>
        <w:t>。本课程由绪论和六个章节组成，共分为三个教学模块，分别是思想教育模块、道德教育模块和法治教育模块。（</w:t>
      </w:r>
      <w:r>
        <w:rPr>
          <w:rFonts w:ascii="Calibri" w:hAnsi="Calibri" w:eastAsia="宋体" w:cs="Calibri"/>
          <w:szCs w:val="21"/>
          <w:lang w:bidi="ar"/>
        </w:rPr>
        <w:t>1</w:t>
      </w:r>
      <w:r>
        <w:rPr>
          <w:rFonts w:hint="eastAsia" w:ascii="宋体" w:hAnsi="宋体" w:eastAsia="宋体" w:cs="宋体"/>
          <w:szCs w:val="21"/>
          <w:lang w:bidi="ar"/>
        </w:rPr>
        <w:t>）担当复兴大任，成就时代新人；（</w:t>
      </w:r>
      <w:r>
        <w:rPr>
          <w:rFonts w:ascii="Calibri" w:hAnsi="Calibri" w:eastAsia="宋体" w:cs="Calibri"/>
          <w:szCs w:val="21"/>
          <w:lang w:bidi="ar"/>
        </w:rPr>
        <w:t>2</w:t>
      </w:r>
      <w:r>
        <w:rPr>
          <w:rFonts w:hint="eastAsia" w:ascii="宋体" w:hAnsi="宋体" w:eastAsia="宋体" w:cs="宋体"/>
          <w:szCs w:val="21"/>
          <w:lang w:bidi="ar"/>
        </w:rPr>
        <w:t>）领悟人生真谛，把握人生方向；（</w:t>
      </w:r>
      <w:r>
        <w:rPr>
          <w:rFonts w:ascii="Calibri" w:hAnsi="Calibri" w:eastAsia="宋体" w:cs="Calibri"/>
          <w:szCs w:val="21"/>
          <w:lang w:bidi="ar"/>
        </w:rPr>
        <w:t>3</w:t>
      </w:r>
      <w:r>
        <w:rPr>
          <w:rFonts w:hint="eastAsia" w:ascii="宋体" w:hAnsi="宋体" w:eastAsia="宋体" w:cs="宋体"/>
          <w:szCs w:val="21"/>
          <w:lang w:bidi="ar"/>
        </w:rPr>
        <w:t>）追求远大理想，坚定崇高信念；（</w:t>
      </w:r>
      <w:r>
        <w:rPr>
          <w:rFonts w:ascii="Calibri" w:hAnsi="Calibri" w:eastAsia="宋体" w:cs="Calibri"/>
          <w:szCs w:val="21"/>
          <w:lang w:bidi="ar"/>
        </w:rPr>
        <w:t>4</w:t>
      </w:r>
      <w:r>
        <w:rPr>
          <w:rFonts w:hint="eastAsia" w:ascii="宋体" w:hAnsi="宋体" w:eastAsia="宋体" w:cs="宋体"/>
          <w:szCs w:val="21"/>
          <w:lang w:bidi="ar"/>
        </w:rPr>
        <w:t>）继承优良传统，弘扬中国精神；（</w:t>
      </w:r>
      <w:r>
        <w:rPr>
          <w:rFonts w:ascii="Calibri" w:hAnsi="Calibri" w:eastAsia="宋体" w:cs="Calibri"/>
          <w:szCs w:val="21"/>
          <w:lang w:bidi="ar"/>
        </w:rPr>
        <w:t>5</w:t>
      </w:r>
      <w:r>
        <w:rPr>
          <w:rFonts w:hint="eastAsia" w:ascii="宋体" w:hAnsi="宋体" w:eastAsia="宋体" w:cs="宋体"/>
          <w:szCs w:val="21"/>
          <w:lang w:bidi="ar"/>
        </w:rPr>
        <w:t>）明确价值要求，践行价值准则；（</w:t>
      </w:r>
      <w:r>
        <w:rPr>
          <w:rFonts w:ascii="Calibri" w:hAnsi="Calibri" w:eastAsia="宋体" w:cs="Calibri"/>
          <w:szCs w:val="21"/>
          <w:lang w:bidi="ar"/>
        </w:rPr>
        <w:t>6</w:t>
      </w:r>
      <w:r>
        <w:rPr>
          <w:rFonts w:hint="eastAsia" w:ascii="宋体" w:hAnsi="宋体" w:eastAsia="宋体" w:cs="宋体"/>
          <w:szCs w:val="21"/>
          <w:lang w:bidi="ar"/>
        </w:rPr>
        <w:t>）遵守道德规范，锤炼道德品格；（</w:t>
      </w:r>
      <w:r>
        <w:rPr>
          <w:rFonts w:ascii="Calibri" w:hAnsi="Calibri" w:eastAsia="宋体" w:cs="Calibri"/>
          <w:szCs w:val="21"/>
          <w:lang w:bidi="ar"/>
        </w:rPr>
        <w:t>7</w:t>
      </w:r>
      <w:r>
        <w:rPr>
          <w:rFonts w:hint="eastAsia" w:ascii="宋体" w:hAnsi="宋体" w:eastAsia="宋体" w:cs="宋体"/>
          <w:szCs w:val="21"/>
          <w:lang w:bidi="ar"/>
        </w:rPr>
        <w:t>）学习法治思想，提升法治素养。</w:t>
      </w:r>
    </w:p>
    <w:p w14:paraId="14EA64E1">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68B58AA6">
      <w:pPr>
        <w:adjustRightInd w:val="0"/>
        <w:snapToGrid w:val="0"/>
        <w:spacing w:line="400" w:lineRule="exact"/>
        <w:ind w:firstLine="420" w:firstLineChars="200"/>
        <w:rPr>
          <w:rFonts w:ascii="Calibri" w:hAnsi="Calibri" w:eastAsia="宋体" w:cs="Times New Roman"/>
          <w:spacing w:val="-4"/>
          <w:szCs w:val="21"/>
        </w:rPr>
      </w:pPr>
      <w:r>
        <w:rPr>
          <w:rFonts w:ascii="Times New Roman" w:hAnsi="Times New Roman" w:eastAsia="宋体" w:cs="Times New Roman"/>
          <w:bCs/>
          <w:szCs w:val="21"/>
          <w:lang w:bidi="ar"/>
        </w:rPr>
        <w:t>（1）</w:t>
      </w:r>
      <w:r>
        <w:rPr>
          <w:rFonts w:hint="eastAsia" w:ascii="宋体" w:hAnsi="宋体" w:eastAsia="宋体" w:cs="宋体"/>
          <w:bCs/>
          <w:szCs w:val="21"/>
          <w:lang w:bidi="ar"/>
        </w:rPr>
        <w:t>教师要求</w:t>
      </w:r>
      <w:r>
        <w:rPr>
          <w:rFonts w:hint="eastAsia" w:ascii="宋体" w:hAnsi="宋体" w:cs="宋体"/>
          <w:bCs/>
          <w:szCs w:val="21"/>
          <w:lang w:bidi="ar"/>
        </w:rPr>
        <w:t>：</w:t>
      </w:r>
      <w:r>
        <w:rPr>
          <w:rFonts w:hint="eastAsia" w:ascii="宋体" w:hAnsi="宋体" w:eastAsia="宋体" w:cs="宋体"/>
          <w:spacing w:val="-4"/>
          <w:szCs w:val="21"/>
          <w:lang w:bidi="ar"/>
        </w:rPr>
        <w:t>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68A0BFC5">
      <w:pPr>
        <w:adjustRightInd w:val="0"/>
        <w:snapToGrid w:val="0"/>
        <w:spacing w:line="400" w:lineRule="exact"/>
        <w:ind w:firstLine="420" w:firstLineChars="200"/>
        <w:rPr>
          <w:rFonts w:ascii="Times New Roman" w:hAnsi="Times New Roman" w:eastAsia="宋体" w:cs="Times New Roman"/>
          <w:bCs/>
          <w:szCs w:val="21"/>
          <w:lang w:bidi="ar"/>
        </w:rPr>
      </w:pPr>
      <w:r>
        <w:rPr>
          <w:rFonts w:hint="eastAsia" w:ascii="Times New Roman" w:hAnsi="Times New Roman" w:eastAsia="宋体" w:cs="Times New Roman"/>
          <w:bCs/>
          <w:szCs w:val="21"/>
          <w:lang w:bidi="ar"/>
        </w:rPr>
        <w:t>（2）</w:t>
      </w:r>
      <w:r>
        <w:rPr>
          <w:rFonts w:ascii="Times New Roman" w:hAnsi="Times New Roman" w:eastAsia="宋体" w:cs="Times New Roman"/>
          <w:bCs/>
          <w:szCs w:val="21"/>
          <w:lang w:bidi="ar"/>
        </w:rPr>
        <w:t>教学条件</w:t>
      </w:r>
      <w:r>
        <w:rPr>
          <w:rFonts w:hint="eastAsia" w:ascii="Times New Roman" w:hAnsi="Times New Roman" w:eastAsia="宋体" w:cs="Times New Roman"/>
          <w:bCs/>
          <w:szCs w:val="21"/>
          <w:lang w:bidi="ar"/>
        </w:rPr>
        <w:t>：</w:t>
      </w:r>
      <w:r>
        <w:rPr>
          <w:rFonts w:ascii="Times New Roman" w:hAnsi="Times New Roman" w:eastAsia="宋体" w:cs="Times New Roman"/>
          <w:bCs/>
          <w:szCs w:val="21"/>
          <w:lang w:bidi="ar"/>
        </w:rPr>
        <w:t>多媒体辅助课件，混合式教学，课内实践、马克思主义学院VR实验室等，提供与教学内容和教学方法相适应的学习条件和学习资源，以促进学生的参与和合作。</w:t>
      </w:r>
    </w:p>
    <w:p w14:paraId="0A04650A">
      <w:pPr>
        <w:adjustRightInd w:val="0"/>
        <w:snapToGrid w:val="0"/>
        <w:spacing w:line="400" w:lineRule="exact"/>
        <w:ind w:firstLine="420" w:firstLineChars="200"/>
        <w:rPr>
          <w:rFonts w:ascii="Times New Roman" w:hAnsi="Times New Roman" w:eastAsia="宋体" w:cs="Times New Roman"/>
          <w:bCs/>
          <w:szCs w:val="21"/>
          <w:lang w:bidi="ar"/>
        </w:rPr>
      </w:pPr>
      <w:r>
        <w:rPr>
          <w:rFonts w:ascii="Times New Roman" w:hAnsi="Times New Roman" w:eastAsia="宋体" w:cs="Times New Roman"/>
          <w:bCs/>
          <w:szCs w:val="21"/>
          <w:lang w:bidi="ar"/>
        </w:rPr>
        <w:t>（3）教学方</w:t>
      </w:r>
      <w:r>
        <w:rPr>
          <w:rFonts w:hint="eastAsia" w:ascii="Times New Roman" w:hAnsi="Times New Roman" w:eastAsia="宋体" w:cs="Times New Roman"/>
          <w:bCs/>
          <w:szCs w:val="21"/>
          <w:lang w:bidi="ar"/>
        </w:rPr>
        <w:t>法：</w:t>
      </w:r>
      <w:r>
        <w:rPr>
          <w:rFonts w:ascii="Times New Roman" w:hAnsi="Times New Roman" w:eastAsia="宋体" w:cs="Times New Roman"/>
          <w:bCs/>
          <w:szCs w:val="21"/>
          <w:lang w:bidi="ar"/>
        </w:rPr>
        <w:t>理论讲授法、逻辑推演法、</w:t>
      </w:r>
      <w:r>
        <w:rPr>
          <w:rFonts w:hint="eastAsia" w:ascii="Times New Roman" w:hAnsi="Times New Roman" w:eastAsia="宋体" w:cs="Times New Roman"/>
          <w:bCs/>
          <w:szCs w:val="21"/>
          <w:lang w:bidi="ar"/>
        </w:rPr>
        <w:t>问题链式教学法</w:t>
      </w:r>
      <w:r>
        <w:rPr>
          <w:rFonts w:ascii="Times New Roman" w:hAnsi="Times New Roman" w:eastAsia="宋体" w:cs="Times New Roman"/>
          <w:bCs/>
          <w:szCs w:val="21"/>
          <w:lang w:bidi="ar"/>
        </w:rPr>
        <w:t>、</w:t>
      </w:r>
      <w:r>
        <w:rPr>
          <w:rFonts w:hint="eastAsia" w:ascii="Times New Roman" w:hAnsi="Times New Roman" w:eastAsia="宋体" w:cs="Times New Roman"/>
          <w:bCs/>
          <w:szCs w:val="21"/>
          <w:lang w:bidi="ar"/>
        </w:rPr>
        <w:t>案例分析法</w:t>
      </w:r>
      <w:r>
        <w:rPr>
          <w:rFonts w:ascii="Times New Roman" w:hAnsi="Times New Roman" w:eastAsia="宋体" w:cs="Times New Roman"/>
          <w:bCs/>
          <w:szCs w:val="21"/>
          <w:lang w:bidi="ar"/>
        </w:rPr>
        <w:t>、</w:t>
      </w:r>
      <w:r>
        <w:rPr>
          <w:rFonts w:hint="eastAsia" w:ascii="Times New Roman" w:hAnsi="Times New Roman" w:eastAsia="宋体" w:cs="Times New Roman"/>
          <w:bCs/>
          <w:szCs w:val="21"/>
          <w:lang w:bidi="ar"/>
        </w:rPr>
        <w:t>课堂讨论法</w:t>
      </w:r>
      <w:r>
        <w:rPr>
          <w:rFonts w:ascii="Times New Roman" w:hAnsi="Times New Roman" w:eastAsia="宋体" w:cs="Times New Roman"/>
          <w:bCs/>
          <w:szCs w:val="21"/>
          <w:lang w:bidi="ar"/>
        </w:rPr>
        <w:t>、</w:t>
      </w:r>
      <w:r>
        <w:rPr>
          <w:rFonts w:hint="eastAsia" w:ascii="Times New Roman" w:hAnsi="Times New Roman" w:eastAsia="宋体" w:cs="Times New Roman"/>
          <w:bCs/>
          <w:szCs w:val="21"/>
          <w:lang w:bidi="ar"/>
        </w:rPr>
        <w:t>视频教学法</w:t>
      </w:r>
      <w:r>
        <w:rPr>
          <w:rFonts w:ascii="Times New Roman" w:hAnsi="Times New Roman" w:eastAsia="宋体" w:cs="Times New Roman"/>
          <w:bCs/>
          <w:szCs w:val="21"/>
          <w:lang w:bidi="ar"/>
        </w:rPr>
        <w:t>、</w:t>
      </w:r>
      <w:r>
        <w:rPr>
          <w:rFonts w:hint="eastAsia" w:ascii="Times New Roman" w:hAnsi="Times New Roman" w:eastAsia="宋体" w:cs="Times New Roman"/>
          <w:bCs/>
          <w:szCs w:val="21"/>
          <w:lang w:bidi="ar"/>
        </w:rPr>
        <w:t>任务驱动法</w:t>
      </w:r>
      <w:r>
        <w:rPr>
          <w:rFonts w:ascii="Times New Roman" w:hAnsi="Times New Roman" w:eastAsia="宋体" w:cs="Times New Roman"/>
          <w:bCs/>
          <w:szCs w:val="21"/>
          <w:lang w:bidi="ar"/>
        </w:rPr>
        <w:t>、</w:t>
      </w:r>
      <w:r>
        <w:rPr>
          <w:rFonts w:hint="eastAsia" w:ascii="Times New Roman" w:hAnsi="Times New Roman" w:eastAsia="宋体" w:cs="Times New Roman"/>
          <w:bCs/>
          <w:szCs w:val="21"/>
          <w:lang w:bidi="ar"/>
        </w:rPr>
        <w:t>情景式教学法</w:t>
      </w:r>
      <w:r>
        <w:rPr>
          <w:rFonts w:ascii="Times New Roman" w:hAnsi="Times New Roman" w:eastAsia="宋体" w:cs="Times New Roman"/>
          <w:bCs/>
          <w:szCs w:val="21"/>
          <w:lang w:bidi="ar"/>
        </w:rPr>
        <w:t>等。</w:t>
      </w:r>
    </w:p>
    <w:p w14:paraId="0024ECC4">
      <w:pPr>
        <w:adjustRightInd w:val="0"/>
        <w:snapToGrid w:val="0"/>
        <w:spacing w:line="400" w:lineRule="exact"/>
        <w:ind w:firstLine="420" w:firstLineChars="200"/>
        <w:rPr>
          <w:rFonts w:ascii="Times New Roman" w:hAnsi="Times New Roman" w:eastAsia="宋体" w:cs="Times New Roman"/>
          <w:spacing w:val="-4"/>
          <w:szCs w:val="21"/>
          <w:lang w:bidi="ar"/>
        </w:rPr>
      </w:pPr>
      <w:r>
        <w:rPr>
          <w:rFonts w:hint="eastAsia" w:ascii="Times New Roman" w:hAnsi="Times New Roman" w:eastAsia="宋体" w:cs="Times New Roman"/>
          <w:bCs/>
          <w:szCs w:val="21"/>
          <w:lang w:bidi="ar"/>
        </w:rPr>
        <w:t>（4）考核评价：过程考核</w:t>
      </w:r>
      <w:r>
        <w:rPr>
          <w:rFonts w:ascii="Times New Roman" w:hAnsi="Times New Roman" w:eastAsia="宋体" w:cs="Times New Roman"/>
          <w:bCs/>
          <w:szCs w:val="21"/>
          <w:lang w:bidi="ar"/>
        </w:rPr>
        <w:t>50%+</w:t>
      </w:r>
      <w:r>
        <w:rPr>
          <w:rFonts w:hint="eastAsia" w:ascii="Times New Roman" w:hAnsi="Times New Roman" w:eastAsia="宋体" w:cs="Times New Roman"/>
          <w:bCs/>
          <w:szCs w:val="21"/>
          <w:lang w:bidi="ar"/>
        </w:rPr>
        <w:t>期末考核</w:t>
      </w:r>
      <w:r>
        <w:rPr>
          <w:rFonts w:ascii="Times New Roman" w:hAnsi="Times New Roman" w:eastAsia="宋体" w:cs="Times New Roman"/>
          <w:bCs/>
          <w:szCs w:val="21"/>
          <w:lang w:bidi="ar"/>
        </w:rPr>
        <w:t>50%</w:t>
      </w:r>
      <w:r>
        <w:rPr>
          <w:rFonts w:hint="eastAsia" w:ascii="Times New Roman" w:hAnsi="Times New Roman" w:eastAsia="宋体" w:cs="Times New Roman"/>
          <w:bCs/>
          <w:szCs w:val="21"/>
          <w:lang w:bidi="ar"/>
        </w:rPr>
        <w:t>。过程考核主要由以下三部分组成：①出勤情况、课堂纪律（</w:t>
      </w:r>
      <w:r>
        <w:rPr>
          <w:rFonts w:ascii="Times New Roman" w:hAnsi="Times New Roman" w:eastAsia="宋体" w:cs="Times New Roman"/>
          <w:bCs/>
          <w:szCs w:val="21"/>
          <w:lang w:bidi="ar"/>
        </w:rPr>
        <w:t>20%</w:t>
      </w:r>
      <w:r>
        <w:rPr>
          <w:rFonts w:hint="eastAsia" w:ascii="Times New Roman" w:hAnsi="Times New Roman" w:eastAsia="宋体" w:cs="Times New Roman"/>
          <w:bCs/>
          <w:szCs w:val="21"/>
          <w:lang w:bidi="ar"/>
        </w:rPr>
        <w:t>）；②原著阅读（</w:t>
      </w:r>
      <w:r>
        <w:rPr>
          <w:rFonts w:ascii="Times New Roman" w:hAnsi="Times New Roman" w:eastAsia="宋体" w:cs="Times New Roman"/>
          <w:bCs/>
          <w:szCs w:val="21"/>
          <w:lang w:bidi="ar"/>
        </w:rPr>
        <w:t>20%</w:t>
      </w:r>
      <w:r>
        <w:rPr>
          <w:rFonts w:hint="eastAsia" w:ascii="Times New Roman" w:hAnsi="Times New Roman" w:eastAsia="宋体" w:cs="Times New Roman"/>
          <w:bCs/>
          <w:szCs w:val="21"/>
          <w:lang w:bidi="ar"/>
        </w:rPr>
        <w:t>）；③实践作业（</w:t>
      </w:r>
      <w:r>
        <w:rPr>
          <w:rFonts w:ascii="Times New Roman" w:hAnsi="Times New Roman" w:eastAsia="宋体" w:cs="Times New Roman"/>
          <w:bCs/>
          <w:szCs w:val="21"/>
          <w:lang w:bidi="ar"/>
        </w:rPr>
        <w:t>60%</w:t>
      </w:r>
      <w:r>
        <w:rPr>
          <w:rFonts w:hint="eastAsia" w:ascii="Times New Roman" w:hAnsi="Times New Roman" w:eastAsia="宋体" w:cs="Times New Roman"/>
          <w:bCs/>
          <w:szCs w:val="21"/>
          <w:lang w:bidi="ar"/>
        </w:rPr>
        <w:t>）。三部分成绩按比例折算为总成绩的</w:t>
      </w:r>
      <w:r>
        <w:rPr>
          <w:rFonts w:ascii="Times New Roman" w:hAnsi="Times New Roman" w:eastAsia="宋体" w:cs="Times New Roman"/>
          <w:bCs/>
          <w:szCs w:val="21"/>
          <w:lang w:bidi="ar"/>
        </w:rPr>
        <w:t>50</w:t>
      </w:r>
      <w:r>
        <w:rPr>
          <w:rFonts w:hint="eastAsia" w:ascii="Times New Roman" w:hAnsi="Times New Roman" w:eastAsia="宋体" w:cs="Times New Roman"/>
          <w:bCs/>
          <w:szCs w:val="21"/>
          <w:lang w:bidi="ar"/>
        </w:rPr>
        <w:t>％。</w:t>
      </w:r>
    </w:p>
    <w:p w14:paraId="246ED213">
      <w:pPr>
        <w:adjustRightInd w:val="0"/>
        <w:snapToGrid w:val="0"/>
        <w:spacing w:line="400" w:lineRule="exact"/>
        <w:ind w:firstLine="422" w:firstLineChars="200"/>
        <w:rPr>
          <w:rFonts w:ascii="宋体" w:hAnsi="宋体" w:eastAsia="宋体" w:cs="宋体"/>
          <w:b/>
          <w:szCs w:val="21"/>
        </w:rPr>
      </w:pPr>
      <w:r>
        <w:rPr>
          <w:rFonts w:hint="eastAsia" w:ascii="宋体" w:hAnsi="宋体" w:cs="宋体"/>
          <w:b/>
          <w:szCs w:val="21"/>
        </w:rPr>
        <w:t>2</w:t>
      </w:r>
      <w:r>
        <w:rPr>
          <w:rFonts w:hint="eastAsia" w:ascii="宋体" w:hAnsi="宋体" w:eastAsia="宋体" w:cs="宋体"/>
          <w:b/>
          <w:szCs w:val="21"/>
        </w:rPr>
        <w:t>.</w:t>
      </w:r>
      <w:r>
        <w:rPr>
          <w:rFonts w:hint="eastAsia"/>
          <w:b/>
          <w:spacing w:val="-4"/>
        </w:rPr>
        <w:t>毛</w:t>
      </w:r>
      <w:r>
        <w:rPr>
          <w:rFonts w:hint="eastAsia"/>
          <w:b/>
          <w:bCs/>
          <w:spacing w:val="-4"/>
        </w:rPr>
        <w:t>泽东思想和中国特色社会主义理论体系概</w:t>
      </w:r>
      <w:r>
        <w:rPr>
          <w:b/>
          <w:bCs/>
          <w:spacing w:val="-4"/>
        </w:rPr>
        <w:t>论</w:t>
      </w:r>
    </w:p>
    <w:p w14:paraId="34E8A200">
      <w:pPr>
        <w:adjustRightInd w:val="0"/>
        <w:snapToGrid w:val="0"/>
        <w:spacing w:line="400" w:lineRule="exact"/>
        <w:ind w:firstLine="422" w:firstLineChars="200"/>
        <w:rPr>
          <w:rFonts w:ascii="宋体" w:hAnsi="宋体" w:eastAsia="宋体" w:cs="宋体"/>
          <w:b/>
          <w:szCs w:val="21"/>
          <w:lang w:bidi="ar"/>
        </w:rPr>
      </w:pPr>
      <w:r>
        <w:rPr>
          <w:rFonts w:ascii="宋体" w:hAnsi="宋体" w:eastAsia="宋体" w:cs="宋体"/>
          <w:b/>
          <w:szCs w:val="21"/>
          <w:lang w:bidi="ar"/>
        </w:rPr>
        <w:t>课程目标：</w:t>
      </w:r>
    </w:p>
    <w:p w14:paraId="10A78DE8">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0F04F96B">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7F42424E">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364A684C">
      <w:pPr>
        <w:adjustRightInd w:val="0"/>
        <w:snapToGrid w:val="0"/>
        <w:spacing w:line="400" w:lineRule="exact"/>
        <w:ind w:firstLine="422" w:firstLineChars="200"/>
        <w:rPr>
          <w:rFonts w:ascii="宋体" w:hAnsi="宋体" w:eastAsia="宋体" w:cs="宋体"/>
          <w:b/>
          <w:szCs w:val="21"/>
        </w:rPr>
      </w:pPr>
      <w:r>
        <w:rPr>
          <w:rFonts w:ascii="宋体" w:hAnsi="宋体" w:eastAsia="宋体" w:cs="宋体"/>
          <w:b/>
          <w:szCs w:val="21"/>
        </w:rPr>
        <w:t>主要内容：</w:t>
      </w:r>
    </w:p>
    <w:p w14:paraId="3ECD3134">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673DBB89">
      <w:pPr>
        <w:adjustRightInd w:val="0"/>
        <w:snapToGrid w:val="0"/>
        <w:spacing w:line="400" w:lineRule="exact"/>
        <w:ind w:firstLine="422" w:firstLineChars="200"/>
        <w:rPr>
          <w:rFonts w:ascii="宋体" w:hAnsi="宋体" w:eastAsia="宋体" w:cs="宋体"/>
          <w:b/>
          <w:szCs w:val="21"/>
        </w:rPr>
      </w:pPr>
      <w:r>
        <w:rPr>
          <w:rFonts w:ascii="宋体" w:hAnsi="宋体" w:eastAsia="宋体" w:cs="宋体"/>
          <w:b/>
          <w:szCs w:val="21"/>
        </w:rPr>
        <w:t>教学要求：</w:t>
      </w:r>
    </w:p>
    <w:p w14:paraId="2EEBFB73">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1）教师要求：具备较高的政治站位，随时了解时政新闻并具备基本的分析能力。熟知教材理论内容，既能讲出基本理论，还能分析理论提出的背景、原因及意义。能够将理论与专业实际相结合，做到因材施教。</w:t>
      </w:r>
    </w:p>
    <w:p w14:paraId="64093056">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（2）教学条件：多媒体辅助课件，马克思主义学院VR实验室，超星学习通。</w:t>
      </w:r>
    </w:p>
    <w:p w14:paraId="223344F7">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4AB6AC9C">
      <w:pPr>
        <w:adjustRightInd w:val="0"/>
        <w:snapToGrid w:val="0"/>
        <w:spacing w:line="400" w:lineRule="exact"/>
        <w:ind w:firstLine="420" w:firstLineChars="200"/>
        <w:rPr>
          <w:rFonts w:ascii="宋体" w:hAnsi="宋体" w:eastAsia="宋体" w:cs="宋体"/>
          <w:bCs/>
          <w:szCs w:val="21"/>
        </w:rPr>
      </w:pPr>
      <w:r>
        <w:rPr>
          <w:rFonts w:ascii="宋体" w:hAnsi="宋体" w:eastAsia="宋体" w:cs="宋体"/>
          <w:bCs/>
          <w:szCs w:val="21"/>
        </w:rPr>
        <w:t>（4）考核评价：过程考核占50%+期末考核占50%。过程考核主要由以下三部分组成：①出勤情况、课堂纪律；②原著阅读；③实践作业。三部分的综合成绩折算为总成绩的50％。</w:t>
      </w:r>
    </w:p>
    <w:p w14:paraId="5FE502F5">
      <w:pPr>
        <w:adjustRightInd w:val="0"/>
        <w:snapToGrid w:val="0"/>
        <w:spacing w:line="400" w:lineRule="exact"/>
        <w:ind w:firstLine="422" w:firstLineChars="200"/>
        <w:rPr>
          <w:rFonts w:ascii="宋体" w:hAnsi="宋体" w:eastAsia="宋体" w:cs="宋体"/>
          <w:bCs/>
          <w:szCs w:val="21"/>
        </w:rPr>
      </w:pPr>
      <w:r>
        <w:rPr>
          <w:rFonts w:hint="eastAsia" w:ascii="宋体" w:hAnsi="宋体" w:cs="宋体"/>
          <w:b/>
          <w:szCs w:val="21"/>
        </w:rPr>
        <w:t>3</w:t>
      </w:r>
      <w:r>
        <w:rPr>
          <w:rFonts w:hint="eastAsia" w:ascii="宋体" w:hAnsi="宋体" w:eastAsia="宋体" w:cs="宋体"/>
          <w:b/>
          <w:szCs w:val="21"/>
        </w:rPr>
        <w:t>.</w:t>
      </w:r>
      <w:r>
        <w:rPr>
          <w:rFonts w:hint="eastAsia"/>
          <w:b/>
          <w:spacing w:val="-4"/>
          <w:szCs w:val="21"/>
        </w:rPr>
        <w:t>习</w:t>
      </w:r>
      <w:r>
        <w:rPr>
          <w:rFonts w:hint="eastAsia"/>
          <w:b/>
          <w:bCs/>
          <w:spacing w:val="-4"/>
          <w:szCs w:val="21"/>
        </w:rPr>
        <w:t>近平新时代中国特色社会主义思想概论</w:t>
      </w:r>
    </w:p>
    <w:p w14:paraId="330FFFCA">
      <w:pPr>
        <w:adjustRightInd w:val="0"/>
        <w:snapToGrid w:val="0"/>
        <w:spacing w:line="400" w:lineRule="exact"/>
        <w:ind w:firstLine="422" w:firstLineChars="200"/>
        <w:rPr>
          <w:rFonts w:ascii="宋体" w:hAnsi="宋体" w:eastAsia="宋体" w:cs="宋体"/>
          <w:b/>
          <w:szCs w:val="21"/>
          <w:lang w:bidi="ar"/>
        </w:rPr>
      </w:pPr>
      <w:r>
        <w:rPr>
          <w:rFonts w:hint="eastAsia" w:ascii="宋体" w:hAnsi="宋体" w:eastAsia="宋体" w:cs="宋体"/>
          <w:b/>
          <w:szCs w:val="21"/>
          <w:lang w:bidi="ar"/>
        </w:rPr>
        <w:t>课程目标：</w:t>
      </w:r>
    </w:p>
    <w:p w14:paraId="15DA1126">
      <w:pPr>
        <w:pStyle w:val="12"/>
        <w:widowControl/>
        <w:kinsoku w:val="0"/>
        <w:autoSpaceDE w:val="0"/>
        <w:autoSpaceDN w:val="0"/>
        <w:adjustRightInd w:val="0"/>
        <w:snapToGrid w:val="0"/>
        <w:spacing w:beforeAutospacing="0" w:afterAutospacing="0" w:line="400" w:lineRule="exact"/>
        <w:ind w:firstLine="420" w:firstLineChars="200"/>
        <w:jc w:val="both"/>
        <w:textAlignment w:val="baseline"/>
        <w:rPr>
          <w:rFonts w:ascii="宋体" w:hAnsi="宋体" w:eastAsia="宋体" w:cs="宋体"/>
          <w:color w:val="000000"/>
          <w:sz w:val="21"/>
          <w:szCs w:val="21"/>
          <w:lang w:bidi="ar"/>
        </w:rPr>
      </w:pPr>
      <w:r>
        <w:rPr>
          <w:rFonts w:ascii="宋体" w:hAnsi="宋体" w:eastAsia="宋体" w:cs="宋体"/>
          <w:color w:val="000000"/>
          <w:sz w:val="21"/>
          <w:szCs w:val="21"/>
          <w:lang w:bidi="ar"/>
        </w:rPr>
        <w:t xml:space="preserve">    </w:t>
      </w:r>
      <w:r>
        <w:rPr>
          <w:rFonts w:ascii="Times New Roman" w:hAnsi="Times New Roman" w:eastAsia="宋体"/>
          <w:spacing w:val="-4"/>
          <w:kern w:val="2"/>
          <w:sz w:val="21"/>
          <w:szCs w:val="21"/>
          <w:lang w:bidi="ar"/>
        </w:rPr>
        <w:t>（1）</w:t>
      </w:r>
      <w:r>
        <w:rPr>
          <w:rFonts w:hint="eastAsia" w:ascii="Times New Roman" w:hAnsi="Times New Roman" w:eastAsia="宋体"/>
          <w:spacing w:val="-4"/>
          <w:kern w:val="2"/>
          <w:sz w:val="21"/>
          <w:szCs w:val="21"/>
          <w:lang w:bidi="ar"/>
        </w:rPr>
        <w:t>知识目标</w:t>
      </w:r>
      <w:r>
        <w:rPr>
          <w:rFonts w:hint="eastAsia" w:ascii="Times New Roman" w:hAnsi="Times New Roman"/>
          <w:spacing w:val="-4"/>
          <w:kern w:val="2"/>
          <w:sz w:val="21"/>
          <w:szCs w:val="21"/>
          <w:lang w:bidi="ar"/>
        </w:rPr>
        <w:t>：</w:t>
      </w:r>
      <w:r>
        <w:rPr>
          <w:rFonts w:hint="eastAsia" w:ascii="宋体" w:hAnsi="宋体" w:eastAsia="宋体" w:cs="宋体"/>
          <w:color w:val="000000"/>
          <w:sz w:val="21"/>
          <w:szCs w:val="21"/>
          <w:lang w:bidi="ar"/>
        </w:rPr>
        <w:t>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w:t>
      </w:r>
      <w:r>
        <w:rPr>
          <w:rFonts w:ascii="宋体" w:hAnsi="宋体" w:eastAsia="宋体" w:cs="宋体"/>
          <w:color w:val="000000"/>
          <w:sz w:val="21"/>
          <w:szCs w:val="21"/>
          <w:lang w:bidi="ar"/>
        </w:rPr>
        <w:t>全面认识和把握新时代我国交通事业建设新成就，更加坚定</w:t>
      </w:r>
      <w:r>
        <w:rPr>
          <w:rFonts w:hint="eastAsia" w:ascii="宋体" w:hAnsi="宋体" w:eastAsia="宋体" w:cs="宋体"/>
          <w:color w:val="000000"/>
          <w:sz w:val="21"/>
          <w:szCs w:val="21"/>
          <w:lang w:bidi="ar"/>
        </w:rPr>
        <w:t>对习近平新时代中国特色社会主义思想这一新时代党和国家事业发展的根本遵循和当代中国马克思主义、二十一世纪马克思主义有着更加透彻的理解和更加科学的运用。</w:t>
      </w:r>
    </w:p>
    <w:p w14:paraId="3871D832">
      <w:pPr>
        <w:pStyle w:val="12"/>
        <w:widowControl/>
        <w:kinsoku w:val="0"/>
        <w:autoSpaceDE w:val="0"/>
        <w:autoSpaceDN w:val="0"/>
        <w:adjustRightInd w:val="0"/>
        <w:snapToGrid w:val="0"/>
        <w:spacing w:beforeAutospacing="0" w:afterAutospacing="0" w:line="400" w:lineRule="exact"/>
        <w:ind w:firstLine="420" w:firstLineChars="200"/>
        <w:jc w:val="both"/>
        <w:textAlignment w:val="baseline"/>
        <w:rPr>
          <w:rFonts w:ascii="宋体" w:hAnsi="宋体" w:eastAsia="宋体" w:cs="宋体"/>
          <w:color w:val="000000"/>
          <w:sz w:val="21"/>
          <w:szCs w:val="21"/>
          <w:lang w:bidi="ar"/>
        </w:rPr>
      </w:pPr>
      <w:r>
        <w:rPr>
          <w:rFonts w:ascii="宋体" w:hAnsi="宋体" w:eastAsia="宋体" w:cs="宋体"/>
          <w:color w:val="000000"/>
          <w:sz w:val="21"/>
          <w:szCs w:val="21"/>
          <w:lang w:bidi="ar"/>
        </w:rPr>
        <w:t xml:space="preserve">    （2）</w:t>
      </w:r>
      <w:r>
        <w:rPr>
          <w:rFonts w:hint="eastAsia" w:ascii="宋体" w:hAnsi="宋体" w:eastAsia="宋体" w:cs="宋体"/>
          <w:color w:val="000000"/>
          <w:sz w:val="21"/>
          <w:szCs w:val="21"/>
          <w:lang w:bidi="ar"/>
        </w:rPr>
        <w:t>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w:t>
      </w:r>
      <w:r>
        <w:rPr>
          <w:rFonts w:ascii="宋体" w:hAnsi="宋体" w:eastAsia="宋体" w:cs="宋体"/>
          <w:color w:val="000000"/>
          <w:sz w:val="21"/>
          <w:szCs w:val="21"/>
          <w:lang w:bidi="ar"/>
        </w:rPr>
        <w:t>社会主义现代化强国尤其是交通强国建设的</w:t>
      </w:r>
      <w:r>
        <w:rPr>
          <w:rFonts w:hint="eastAsia" w:ascii="宋体" w:hAnsi="宋体" w:eastAsia="宋体" w:cs="宋体"/>
          <w:color w:val="000000"/>
          <w:sz w:val="21"/>
          <w:szCs w:val="21"/>
          <w:lang w:bidi="ar"/>
        </w:rPr>
        <w:t>实践。</w:t>
      </w:r>
      <w:r>
        <w:rPr>
          <w:rFonts w:ascii="宋体" w:hAnsi="宋体" w:eastAsia="宋体" w:cs="宋体"/>
          <w:color w:val="000000"/>
          <w:sz w:val="21"/>
          <w:szCs w:val="21"/>
          <w:lang w:bidi="ar"/>
        </w:rPr>
        <w:t>同时，能够善于从新思想的视角看待、分析我国交通事业的成就、未来发展等。</w:t>
      </w:r>
    </w:p>
    <w:p w14:paraId="5213CD54">
      <w:pPr>
        <w:pStyle w:val="12"/>
        <w:widowControl/>
        <w:kinsoku w:val="0"/>
        <w:autoSpaceDE w:val="0"/>
        <w:autoSpaceDN w:val="0"/>
        <w:adjustRightInd w:val="0"/>
        <w:snapToGrid w:val="0"/>
        <w:spacing w:beforeAutospacing="0" w:afterAutospacing="0" w:line="400" w:lineRule="exact"/>
        <w:ind w:firstLine="420" w:firstLineChars="200"/>
        <w:jc w:val="both"/>
        <w:textAlignment w:val="baseline"/>
        <w:rPr>
          <w:rFonts w:ascii="宋体" w:hAnsi="宋体" w:eastAsia="宋体" w:cs="宋体"/>
          <w:color w:val="000000"/>
          <w:sz w:val="21"/>
          <w:szCs w:val="21"/>
          <w:lang w:bidi="ar"/>
        </w:rPr>
      </w:pPr>
      <w:r>
        <w:rPr>
          <w:rFonts w:ascii="宋体" w:hAnsi="宋体" w:eastAsia="宋体" w:cs="宋体"/>
          <w:color w:val="000000"/>
          <w:sz w:val="21"/>
          <w:szCs w:val="21"/>
          <w:lang w:bidi="ar"/>
        </w:rPr>
        <w:t xml:space="preserve">    （3）</w:t>
      </w:r>
      <w:r>
        <w:rPr>
          <w:rFonts w:ascii="宋体" w:hAnsi="宋体" w:cs="宋体"/>
          <w:color w:val="000000"/>
          <w:sz w:val="21"/>
          <w:szCs w:val="21"/>
          <w:lang w:bidi="ar"/>
        </w:rPr>
        <w:t>素质目标</w:t>
      </w:r>
      <w:r>
        <w:rPr>
          <w:rFonts w:hint="eastAsia" w:ascii="宋体" w:hAnsi="宋体" w:cs="宋体"/>
          <w:color w:val="000000"/>
          <w:sz w:val="21"/>
          <w:szCs w:val="21"/>
          <w:lang w:bidi="ar"/>
        </w:rPr>
        <w:t>：</w:t>
      </w:r>
      <w:r>
        <w:rPr>
          <w:rFonts w:hint="eastAsia" w:ascii="宋体" w:hAnsi="宋体" w:eastAsia="宋体" w:cs="宋体"/>
          <w:color w:val="000000"/>
          <w:sz w:val="21"/>
          <w:szCs w:val="21"/>
          <w:lang w:bidi="ar"/>
        </w:rPr>
        <w:t>通过对习近平新时代中国特色社会主义思想概论的学习，增强大学生对“十个明确”“十四个坚持”“十三个方面成就”“六个必须坚持”等主要内容的高度认同</w:t>
      </w:r>
      <w:r>
        <w:rPr>
          <w:rFonts w:ascii="宋体" w:hAnsi="宋体" w:eastAsia="宋体" w:cs="宋体"/>
          <w:color w:val="000000"/>
          <w:sz w:val="21"/>
          <w:szCs w:val="21"/>
          <w:lang w:bidi="ar"/>
        </w:rPr>
        <w:t>。</w:t>
      </w:r>
      <w:r>
        <w:rPr>
          <w:rFonts w:hint="eastAsia" w:ascii="宋体" w:hAnsi="宋体" w:eastAsia="宋体" w:cs="宋体"/>
          <w:color w:val="000000"/>
          <w:sz w:val="21"/>
          <w:szCs w:val="21"/>
          <w:lang w:bidi="ar"/>
        </w:rPr>
        <w:t>以马克思主义中国化时代化最新理论成果为主线，依据大学生自身成长的特点和规律，教育和引导大学生，提高他们的政治理论素养，</w:t>
      </w:r>
      <w:r>
        <w:rPr>
          <w:rFonts w:ascii="宋体" w:hAnsi="宋体" w:eastAsia="宋体" w:cs="宋体"/>
          <w:color w:val="000000"/>
          <w:sz w:val="21"/>
          <w:szCs w:val="21"/>
          <w:lang w:bidi="ar"/>
        </w:rPr>
        <w:t>通过交通强国建设成效这一微视角，</w:t>
      </w:r>
      <w:r>
        <w:rPr>
          <w:rFonts w:hint="eastAsia" w:ascii="宋体" w:hAnsi="宋体" w:eastAsia="宋体" w:cs="宋体"/>
          <w:color w:val="000000"/>
          <w:sz w:val="21"/>
          <w:szCs w:val="21"/>
          <w:lang w:bidi="ar"/>
        </w:rPr>
        <w:t>增强走中国特色社会主义道路的信念，坚定对以中国式现代化全面推进中华民族伟大复兴中国梦的信心。</w:t>
      </w:r>
    </w:p>
    <w:p w14:paraId="7A410958">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3462347A">
      <w:pPr>
        <w:pStyle w:val="23"/>
        <w:widowControl/>
        <w:spacing w:line="400" w:lineRule="exact"/>
        <w:ind w:firstLine="420" w:firstLineChars="200"/>
        <w:jc w:val="both"/>
        <w:rPr>
          <w:rFonts w:hint="default" w:cs="宋体"/>
          <w:sz w:val="21"/>
          <w:szCs w:val="21"/>
        </w:rPr>
      </w:pPr>
      <w:r>
        <w:rPr>
          <w:rFonts w:hint="default" w:cs="宋体"/>
          <w:sz w:val="21"/>
          <w:szCs w:val="21"/>
        </w:rPr>
        <w:t>（1）</w:t>
      </w:r>
      <w:r>
        <w:rPr>
          <w:rFonts w:cs="宋体"/>
          <w:sz w:val="21"/>
          <w:szCs w:val="21"/>
        </w:rPr>
        <w:t>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37C672B6">
      <w:pPr>
        <w:adjustRightInd w:val="0"/>
        <w:snapToGrid w:val="0"/>
        <w:spacing w:line="400" w:lineRule="exact"/>
        <w:ind w:firstLine="420" w:firstLineChars="200"/>
        <w:jc w:val="left"/>
        <w:rPr>
          <w:rFonts w:ascii="宋体" w:hAnsi="宋体" w:eastAsia="宋体" w:cs="宋体"/>
          <w:b/>
          <w:szCs w:val="21"/>
        </w:rPr>
      </w:pPr>
      <w:r>
        <w:rPr>
          <w:rFonts w:ascii="宋体" w:hAnsi="宋体" w:cs="宋体"/>
          <w:color w:val="000000"/>
          <w:kern w:val="0"/>
          <w:szCs w:val="21"/>
          <w:lang w:bidi="ar"/>
        </w:rPr>
        <w:t>（2）</w:t>
      </w:r>
      <w:r>
        <w:rPr>
          <w:rFonts w:ascii="宋体" w:hAnsi="宋体" w:eastAsia="宋体" w:cs="宋体"/>
          <w:color w:val="000000"/>
          <w:kern w:val="0"/>
          <w:szCs w:val="21"/>
          <w:lang w:bidi="ar"/>
        </w:rPr>
        <w:t>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05BD3515">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7ACC34FF">
      <w:pPr>
        <w:adjustRightInd w:val="0"/>
        <w:snapToGrid w:val="0"/>
        <w:spacing w:line="400" w:lineRule="exact"/>
        <w:ind w:firstLine="420" w:firstLineChars="200"/>
        <w:jc w:val="left"/>
        <w:rPr>
          <w:rFonts w:ascii="宋体" w:hAnsi="宋体" w:eastAsia="宋体" w:cs="宋体"/>
          <w:color w:val="000000"/>
          <w:kern w:val="0"/>
          <w:szCs w:val="21"/>
          <w:lang w:bidi="ar"/>
        </w:rPr>
      </w:pPr>
      <w:r>
        <w:rPr>
          <w:rFonts w:ascii="宋体" w:hAnsi="宋体" w:eastAsia="宋体" w:cs="宋体"/>
          <w:color w:val="000000"/>
          <w:kern w:val="0"/>
          <w:szCs w:val="21"/>
          <w:lang w:bidi="ar"/>
        </w:rPr>
        <w:t>（1）教师要求：思政课教师肩负着立德树人的重要使命，要严格落实自觉履行习近平总书记对思政课提出的“六要”的要求，即政治要强、情怀要深、思维要新、自律要严、人格要正。</w:t>
      </w:r>
    </w:p>
    <w:p w14:paraId="43BBDEE4">
      <w:pPr>
        <w:adjustRightInd w:val="0"/>
        <w:snapToGrid w:val="0"/>
        <w:spacing w:line="400" w:lineRule="exact"/>
        <w:ind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（2）教学条件：</w:t>
      </w:r>
      <w:r>
        <w:rPr>
          <w:rFonts w:ascii="宋体" w:hAnsi="宋体" w:eastAsia="宋体" w:cs="宋体"/>
          <w:color w:val="000000"/>
          <w:kern w:val="0"/>
          <w:szCs w:val="21"/>
          <w:lang w:bidi="ar"/>
        </w:rPr>
        <w:t>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7390AEC1">
      <w:pPr>
        <w:adjustRightInd w:val="0"/>
        <w:snapToGrid w:val="0"/>
        <w:spacing w:line="400" w:lineRule="exact"/>
        <w:ind w:firstLine="420" w:firstLineChars="200"/>
        <w:jc w:val="left"/>
        <w:rPr>
          <w:rFonts w:ascii="宋体" w:hAnsi="宋体" w:eastAsia="宋体" w:cs="宋体"/>
          <w:color w:val="000000"/>
          <w:kern w:val="0"/>
          <w:szCs w:val="21"/>
          <w:lang w:bidi="ar"/>
        </w:rPr>
      </w:pPr>
      <w:r>
        <w:rPr>
          <w:rFonts w:ascii="宋体" w:hAnsi="宋体" w:eastAsia="宋体" w:cs="宋体"/>
          <w:color w:val="000000"/>
          <w:kern w:val="0"/>
          <w:szCs w:val="21"/>
          <w:lang w:bidi="ar"/>
        </w:rPr>
        <w:t>（3）教学方法：</w:t>
      </w:r>
      <w:r>
        <w:rPr>
          <w:rFonts w:hint="eastAsia" w:ascii="宋体" w:hAnsi="宋体" w:eastAsia="宋体" w:cs="宋体"/>
          <w:color w:val="000000"/>
          <w:kern w:val="0"/>
          <w:szCs w:val="21"/>
          <w:lang w:bidi="ar"/>
        </w:rPr>
        <w:t>翻转课堂法</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通过学习通发布教学资源、精品课视频、课前预习任务、主题讨论、思考题等，培养学生自主学习能力</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理论讲授法</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将教材中涉及到的理论知识有重点、有取舍地进行讲授</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案例讲授法</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把重要讲话、典型案例等融入理论讲授过程中</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探究式教学法</w:t>
      </w:r>
      <w:r>
        <w:rPr>
          <w:rFonts w:ascii="宋体" w:hAnsi="宋体" w:eastAsia="宋体" w:cs="宋体"/>
          <w:color w:val="000000"/>
          <w:kern w:val="0"/>
          <w:szCs w:val="21"/>
          <w:lang w:bidi="ar"/>
        </w:rPr>
        <w:t>，</w:t>
      </w:r>
      <w:r>
        <w:rPr>
          <w:rFonts w:hint="eastAsia" w:ascii="宋体" w:hAnsi="宋体" w:eastAsia="宋体" w:cs="宋体"/>
          <w:color w:val="000000"/>
          <w:kern w:val="0"/>
          <w:szCs w:val="21"/>
          <w:lang w:bidi="ar"/>
        </w:rPr>
        <w:t>通过提问、讨论让学生发现怎样将理论与自身学习、生活、工作结合起来</w:t>
      </w:r>
      <w:r>
        <w:rPr>
          <w:rFonts w:ascii="宋体" w:hAnsi="宋体" w:eastAsia="宋体" w:cs="宋体"/>
          <w:color w:val="000000"/>
          <w:kern w:val="0"/>
          <w:szCs w:val="21"/>
          <w:lang w:bidi="ar"/>
        </w:rPr>
        <w:t>；任务驱动法，通过课后布置任务让学生对本次课程进行深入思考。</w:t>
      </w:r>
    </w:p>
    <w:p w14:paraId="79D66E36">
      <w:pPr>
        <w:adjustRightInd w:val="0"/>
        <w:snapToGrid w:val="0"/>
        <w:spacing w:line="400" w:lineRule="exact"/>
        <w:ind w:firstLine="420" w:firstLineChars="200"/>
        <w:jc w:val="left"/>
        <w:rPr>
          <w:rFonts w:ascii="宋体" w:hAnsi="宋体" w:eastAsia="宋体" w:cs="宋体"/>
          <w:color w:val="000000"/>
          <w:kern w:val="0"/>
          <w:szCs w:val="21"/>
          <w:lang w:bidi="ar"/>
        </w:rPr>
      </w:pPr>
      <w:r>
        <w:rPr>
          <w:rFonts w:ascii="宋体" w:hAnsi="宋体" w:eastAsia="宋体" w:cs="宋体"/>
          <w:color w:val="000000"/>
          <w:kern w:val="0"/>
          <w:szCs w:val="21"/>
          <w:lang w:bidi="ar"/>
        </w:rPr>
        <w:t>（4）教学考核</w:t>
      </w:r>
      <w:r>
        <w:rPr>
          <w:rFonts w:hint="eastAsia" w:ascii="宋体" w:hAnsi="宋体" w:cs="宋体"/>
          <w:color w:val="000000"/>
          <w:kern w:val="0"/>
          <w:szCs w:val="21"/>
          <w:lang w:bidi="ar"/>
        </w:rPr>
        <w:t>：</w:t>
      </w:r>
      <w:r>
        <w:rPr>
          <w:rFonts w:hint="eastAsia" w:ascii="宋体" w:hAnsi="宋体" w:eastAsia="宋体" w:cs="宋体"/>
          <w:color w:val="000000"/>
          <w:kern w:val="0"/>
          <w:szCs w:val="21"/>
          <w:lang w:bidi="ar"/>
        </w:rPr>
        <w:t>本课程为考试课程，分为理论教学和实践教学</w:t>
      </w:r>
      <w:r>
        <w:rPr>
          <w:rFonts w:hint="eastAsia" w:ascii="宋体" w:hAnsi="宋体" w:cs="宋体"/>
          <w:color w:val="000000"/>
          <w:kern w:val="0"/>
          <w:szCs w:val="21"/>
          <w:lang w:bidi="ar"/>
        </w:rPr>
        <w:t>两个</w:t>
      </w:r>
      <w:r>
        <w:rPr>
          <w:rFonts w:hint="eastAsia" w:ascii="宋体" w:hAnsi="宋体" w:eastAsia="宋体" w:cs="宋体"/>
          <w:color w:val="000000"/>
          <w:kern w:val="0"/>
          <w:szCs w:val="21"/>
          <w:lang w:bidi="ar"/>
        </w:rPr>
        <w:t>环节，学期结束安排考试。以百分制计分，其中平时成绩占50%，期末成绩占50%。</w:t>
      </w:r>
    </w:p>
    <w:p w14:paraId="6A110F3F">
      <w:pPr>
        <w:adjustRightInd w:val="0"/>
        <w:snapToGrid w:val="0"/>
        <w:spacing w:line="400" w:lineRule="exact"/>
        <w:ind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平时成绩的评定依据学生学习本课程的一学期综合表现，主要由以下三部分组成：①出勤情况、课堂纪律；②原著阅读；③实践作业。三部分的综合成绩折算为总成绩的50％。</w:t>
      </w:r>
    </w:p>
    <w:p w14:paraId="31E75B4C">
      <w:pPr>
        <w:adjustRightInd w:val="0"/>
        <w:snapToGrid w:val="0"/>
        <w:spacing w:line="400" w:lineRule="exact"/>
        <w:ind w:firstLine="420" w:firstLineChars="200"/>
        <w:jc w:val="left"/>
        <w:rPr>
          <w:rFonts w:ascii="宋体" w:hAnsi="宋体" w:eastAsia="宋体" w:cs="宋体"/>
          <w:color w:val="000000"/>
          <w:kern w:val="0"/>
          <w:szCs w:val="21"/>
          <w:lang w:bidi="ar"/>
        </w:rPr>
      </w:pPr>
      <w:r>
        <w:rPr>
          <w:rFonts w:hint="eastAsia" w:ascii="宋体" w:hAnsi="宋体" w:eastAsia="宋体" w:cs="宋体"/>
          <w:color w:val="000000"/>
          <w:kern w:val="0"/>
          <w:szCs w:val="21"/>
          <w:lang w:bidi="ar"/>
        </w:rPr>
        <w:t>期末考试由学院统一组织进行，期末考试成绩折算为总成绩的50％。</w:t>
      </w:r>
    </w:p>
    <w:p w14:paraId="58B73A75">
      <w:pPr>
        <w:adjustRightInd w:val="0"/>
        <w:snapToGrid w:val="0"/>
        <w:spacing w:line="400" w:lineRule="exact"/>
        <w:ind w:firstLine="422" w:firstLineChars="200"/>
        <w:rPr>
          <w:rFonts w:ascii="Calibri" w:hAnsi="Calibri" w:eastAsia="宋体" w:cs="Times New Roman"/>
          <w:szCs w:val="21"/>
        </w:rPr>
      </w:pPr>
      <w:r>
        <w:rPr>
          <w:rFonts w:ascii="宋体" w:hAnsi="宋体" w:eastAsia="宋体" w:cs="宋体"/>
          <w:b/>
          <w:szCs w:val="21"/>
        </w:rPr>
        <w:t>4.</w:t>
      </w:r>
      <w:r>
        <w:rPr>
          <w:rFonts w:hint="eastAsia" w:ascii="宋体" w:hAnsi="宋体" w:eastAsia="宋体" w:cs="宋体"/>
          <w:b/>
          <w:szCs w:val="21"/>
          <w:lang w:bidi="ar"/>
        </w:rPr>
        <w:t>形势与政策</w:t>
      </w:r>
    </w:p>
    <w:p w14:paraId="178A5C8F">
      <w:pPr>
        <w:pStyle w:val="5"/>
        <w:widowControl/>
        <w:shd w:val="clear" w:color="auto" w:fill="FDFDFE"/>
        <w:spacing w:before="0" w:beforeAutospacing="0" w:after="0" w:afterAutospacing="0" w:line="400" w:lineRule="exact"/>
        <w:ind w:firstLine="422" w:firstLineChars="200"/>
        <w:rPr>
          <w:rFonts w:hint="default" w:cs="宋体"/>
          <w:bCs w:val="0"/>
          <w:kern w:val="2"/>
          <w:sz w:val="21"/>
          <w:szCs w:val="21"/>
        </w:rPr>
      </w:pPr>
      <w:r>
        <w:rPr>
          <w:rFonts w:cs="宋体"/>
          <w:bCs w:val="0"/>
          <w:kern w:val="2"/>
          <w:sz w:val="21"/>
          <w:szCs w:val="21"/>
        </w:rPr>
        <w:t>课程目标：</w:t>
      </w:r>
    </w:p>
    <w:p w14:paraId="2DF1E323">
      <w:pPr>
        <w:pStyle w:val="22"/>
        <w:autoSpaceDE w:val="0"/>
        <w:spacing w:line="400" w:lineRule="exact"/>
        <w:ind w:firstLine="420" w:firstLineChars="200"/>
        <w:rPr>
          <w:bCs/>
          <w:lang w:eastAsia="zh-CN"/>
        </w:rPr>
      </w:pPr>
      <w:r>
        <w:rPr>
          <w:rFonts w:hint="eastAsia"/>
          <w:bCs/>
          <w:lang w:eastAsia="zh-CN"/>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3916486E">
      <w:pPr>
        <w:pStyle w:val="22"/>
        <w:autoSpaceDE w:val="0"/>
        <w:spacing w:line="400" w:lineRule="exact"/>
        <w:ind w:firstLine="420" w:firstLineChars="200"/>
        <w:rPr>
          <w:bCs/>
          <w:lang w:eastAsia="zh-CN"/>
        </w:rPr>
      </w:pPr>
      <w:r>
        <w:rPr>
          <w:rFonts w:hint="eastAsia"/>
          <w:bCs/>
          <w:lang w:eastAsia="zh-CN"/>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73E6C11B">
      <w:pPr>
        <w:pStyle w:val="22"/>
        <w:autoSpaceDE w:val="0"/>
        <w:spacing w:line="400" w:lineRule="exact"/>
        <w:ind w:firstLine="420" w:firstLineChars="200"/>
        <w:rPr>
          <w:bCs/>
          <w:lang w:eastAsia="zh-CN"/>
        </w:rPr>
      </w:pPr>
      <w:r>
        <w:rPr>
          <w:rFonts w:hint="eastAsia"/>
          <w:bCs/>
          <w:lang w:eastAsia="zh-CN"/>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25430528">
      <w:pPr>
        <w:pStyle w:val="5"/>
        <w:widowControl/>
        <w:shd w:val="clear" w:color="auto" w:fill="FDFDFE"/>
        <w:spacing w:before="0" w:beforeAutospacing="0" w:after="0" w:afterAutospacing="0" w:line="400" w:lineRule="exact"/>
        <w:ind w:firstLine="422" w:firstLineChars="200"/>
        <w:rPr>
          <w:rFonts w:hint="default" w:cs="宋体"/>
          <w:bCs w:val="0"/>
          <w:kern w:val="2"/>
          <w:sz w:val="21"/>
          <w:szCs w:val="21"/>
          <w:shd w:val="clear" w:color="auto" w:fill="FDFDFE"/>
        </w:rPr>
      </w:pPr>
      <w:r>
        <w:rPr>
          <w:rFonts w:cs="宋体"/>
          <w:bCs w:val="0"/>
          <w:kern w:val="2"/>
          <w:sz w:val="21"/>
          <w:szCs w:val="21"/>
          <w:shd w:val="clear" w:color="auto" w:fill="FDFDFE"/>
        </w:rPr>
        <w:t>主要内容：</w:t>
      </w:r>
    </w:p>
    <w:p w14:paraId="6BC954B7">
      <w:pPr>
        <w:pStyle w:val="5"/>
        <w:widowControl/>
        <w:shd w:val="clear" w:color="auto" w:fill="FDFDFE"/>
        <w:spacing w:before="0" w:beforeAutospacing="0" w:after="0" w:afterAutospacing="0" w:line="400" w:lineRule="exact"/>
        <w:ind w:firstLine="420" w:firstLineChars="200"/>
        <w:rPr>
          <w:rFonts w:hint="default" w:cs="宋体"/>
          <w:b w:val="0"/>
          <w:kern w:val="2"/>
          <w:sz w:val="21"/>
          <w:szCs w:val="21"/>
          <w:lang w:bidi="ar"/>
        </w:rPr>
      </w:pPr>
      <w:r>
        <w:rPr>
          <w:rFonts w:cs="宋体"/>
          <w:b w:val="0"/>
          <w:kern w:val="2"/>
          <w:sz w:val="21"/>
          <w:szCs w:val="21"/>
          <w:lang w:bidi="ar"/>
        </w:rPr>
        <w:t>形势与政策课程分专题来讲授，要求担任本课程的教师根据教育部每学期印发的“高校形势与政策教育教学要点”，结合上级有关部门提供的教学辅导资料，进行集体备课，统一安排教学内容。</w:t>
      </w:r>
    </w:p>
    <w:p w14:paraId="1F134CB7">
      <w:pPr>
        <w:pStyle w:val="5"/>
        <w:widowControl/>
        <w:shd w:val="clear" w:color="auto" w:fill="FDFDFE"/>
        <w:spacing w:before="0" w:beforeAutospacing="0" w:after="0" w:afterAutospacing="0" w:line="400" w:lineRule="exact"/>
        <w:ind w:firstLine="422" w:firstLineChars="200"/>
        <w:rPr>
          <w:rFonts w:hint="default" w:cs="宋体"/>
          <w:bCs w:val="0"/>
          <w:kern w:val="2"/>
          <w:sz w:val="21"/>
          <w:szCs w:val="21"/>
          <w:shd w:val="clear" w:color="auto" w:fill="FDFDFE"/>
        </w:rPr>
      </w:pPr>
      <w:r>
        <w:rPr>
          <w:rFonts w:cs="宋体"/>
          <w:bCs w:val="0"/>
          <w:kern w:val="2"/>
          <w:sz w:val="21"/>
          <w:szCs w:val="21"/>
          <w:shd w:val="clear" w:color="auto" w:fill="FDFDFE"/>
        </w:rPr>
        <w:t>教学要求：</w:t>
      </w:r>
    </w:p>
    <w:p w14:paraId="470EC6B7">
      <w:pPr>
        <w:pStyle w:val="22"/>
        <w:autoSpaceDE w:val="0"/>
        <w:spacing w:line="400" w:lineRule="exact"/>
        <w:ind w:firstLine="420" w:firstLineChars="200"/>
        <w:rPr>
          <w:bCs/>
          <w:lang w:eastAsia="zh-CN"/>
        </w:rPr>
      </w:pPr>
      <w:r>
        <w:rPr>
          <w:rFonts w:hint="eastAsia"/>
          <w:bCs/>
          <w:lang w:eastAsia="zh-CN"/>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56354FDC">
      <w:pPr>
        <w:pStyle w:val="22"/>
        <w:autoSpaceDE w:val="0"/>
        <w:spacing w:line="400" w:lineRule="exact"/>
        <w:ind w:firstLine="420" w:firstLineChars="200"/>
        <w:rPr>
          <w:bCs/>
          <w:lang w:eastAsia="zh-CN"/>
        </w:rPr>
      </w:pPr>
      <w:r>
        <w:rPr>
          <w:rFonts w:hint="eastAsia"/>
          <w:bCs/>
          <w:lang w:eastAsia="zh-CN"/>
        </w:rPr>
        <w:t>（2）教学条件：配备多媒体教室、智慧教室、互动显示屏，支持高清视频播放、实时投票、弹幕互动等功能，拥有黑板或电子黑板满足板书与课件展示需求，</w:t>
      </w:r>
      <w:r>
        <w:rPr>
          <w:rFonts w:hint="eastAsia"/>
          <w:color w:val="000000"/>
          <w:lang w:eastAsia="zh-CN"/>
        </w:rPr>
        <w:t>利用MOOC、钉钉、学习通等平台辅助教学，并</w:t>
      </w:r>
      <w:r>
        <w:rPr>
          <w:rFonts w:hint="eastAsia"/>
          <w:bCs/>
          <w:lang w:eastAsia="zh-CN"/>
        </w:rPr>
        <w:t>有杨靖宇革命纪念馆、竹沟革命纪念馆、西滑封精神实践教学基地、寨卜昌实践教学基地、嘉应观实践教学基地、黄河文化馆等校内外实践教学基地。</w:t>
      </w:r>
    </w:p>
    <w:p w14:paraId="04B93923">
      <w:pPr>
        <w:pStyle w:val="22"/>
        <w:autoSpaceDE w:val="0"/>
        <w:spacing w:line="400" w:lineRule="exact"/>
        <w:ind w:firstLine="420" w:firstLineChars="200"/>
        <w:rPr>
          <w:bCs/>
          <w:lang w:eastAsia="zh-CN"/>
        </w:rPr>
      </w:pPr>
      <w:r>
        <w:rPr>
          <w:rFonts w:hint="eastAsia"/>
          <w:bCs/>
          <w:lang w:eastAsia="zh-CN"/>
        </w:rPr>
        <w:t>（3）教学方法：理论教学法、翻转课堂法、分组讨论法、直观演示法、案例教学法和任务驱动法。</w:t>
      </w:r>
    </w:p>
    <w:p w14:paraId="279A5229">
      <w:pPr>
        <w:pStyle w:val="22"/>
        <w:autoSpaceDE w:val="0"/>
        <w:spacing w:line="400" w:lineRule="exact"/>
        <w:ind w:firstLine="420" w:firstLineChars="200"/>
        <w:rPr>
          <w:color w:val="000000"/>
          <w:lang w:eastAsia="zh-CN"/>
        </w:rPr>
      </w:pPr>
      <w:r>
        <w:rPr>
          <w:rFonts w:hint="eastAsia"/>
          <w:bCs/>
          <w:lang w:eastAsia="zh-CN"/>
        </w:rPr>
        <w:t>（4）考核评价：</w:t>
      </w:r>
      <w:r>
        <w:rPr>
          <w:rFonts w:hint="eastAsia"/>
          <w:color w:val="000000"/>
          <w:lang w:eastAsia="zh-CN"/>
        </w:rPr>
        <w:t>形势与政策课程为考查课，以百分制计分，</w:t>
      </w:r>
      <w:r>
        <w:rPr>
          <w:rFonts w:hint="eastAsia"/>
          <w:lang w:eastAsia="zh-CN"/>
        </w:rPr>
        <w:t>其中平时成绩占</w:t>
      </w:r>
      <w:r>
        <w:rPr>
          <w:rFonts w:ascii="Times New Roman" w:hAnsi="Times New Roman" w:cs="Times New Roman"/>
          <w:lang w:eastAsia="zh-CN"/>
        </w:rPr>
        <w:t>50%</w:t>
      </w:r>
      <w:r>
        <w:rPr>
          <w:rFonts w:hint="eastAsia"/>
          <w:lang w:eastAsia="zh-CN"/>
        </w:rPr>
        <w:t>，期末成绩占</w:t>
      </w:r>
      <w:r>
        <w:rPr>
          <w:rFonts w:ascii="Times New Roman" w:hAnsi="Times New Roman" w:cs="Times New Roman"/>
          <w:lang w:eastAsia="zh-CN"/>
        </w:rPr>
        <w:t>50%</w:t>
      </w:r>
      <w:r>
        <w:rPr>
          <w:rFonts w:hint="eastAsia"/>
          <w:lang w:eastAsia="zh-CN"/>
        </w:rPr>
        <w:t>。</w:t>
      </w:r>
      <w:r>
        <w:rPr>
          <w:rFonts w:hint="eastAsia"/>
          <w:color w:val="000000"/>
          <w:lang w:eastAsia="zh-CN"/>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0F73410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5.军事理论</w:t>
      </w:r>
    </w:p>
    <w:p w14:paraId="38E31A01">
      <w:pPr>
        <w:pStyle w:val="12"/>
        <w:spacing w:beforeAutospacing="0" w:afterAutospacing="0" w:line="400" w:lineRule="exact"/>
        <w:ind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7E7106AF">
      <w:pPr>
        <w:pStyle w:val="12"/>
        <w:autoSpaceDE w:val="0"/>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4A369F29">
      <w:pPr>
        <w:pStyle w:val="12"/>
        <w:widowControl/>
        <w:autoSpaceDE w:val="0"/>
        <w:spacing w:beforeAutospacing="0" w:afterAutospacing="0" w:line="400" w:lineRule="exact"/>
        <w:ind w:firstLine="420" w:firstLineChars="200"/>
        <w:rPr>
          <w:rFonts w:ascii="宋体" w:hAnsi="宋体" w:eastAsia="宋体" w:cs="宋体"/>
          <w:bCs/>
          <w:kern w:val="2"/>
          <w:sz w:val="21"/>
          <w:szCs w:val="21"/>
          <w:lang w:bidi="ar"/>
        </w:rPr>
      </w:pPr>
      <w:r>
        <w:rPr>
          <w:rFonts w:hint="eastAsia" w:ascii="宋体" w:hAnsi="宋体" w:eastAsia="宋体" w:cs="宋体"/>
          <w:bCs/>
          <w:kern w:val="2"/>
          <w:sz w:val="21"/>
          <w:szCs w:val="21"/>
          <w:lang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68456B2F">
      <w:pPr>
        <w:pStyle w:val="12"/>
        <w:widowControl/>
        <w:autoSpaceDE w:val="0"/>
        <w:spacing w:beforeAutospacing="0" w:afterAutospacing="0" w:line="400" w:lineRule="exact"/>
        <w:ind w:firstLine="420" w:firstLineChars="200"/>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（3）素质目标：加强学生的爱国主义精神和服务国防建设的责任感，体现思政教育目标，树立正确的国防观和使命感，培养严谨的军事纪律意识和团队合作精神，促进学生全面发展。</w:t>
      </w:r>
    </w:p>
    <w:p w14:paraId="4E6CBCEE">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38A65F08">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（1）中国国防：</w:t>
      </w:r>
      <w:r>
        <w:rPr>
          <w:rFonts w:hint="eastAsia" w:ascii="宋体" w:hAnsi="宋体" w:eastAsia="宋体" w:cs="宋体"/>
          <w:bCs/>
          <w:szCs w:val="21"/>
          <w:lang w:bidi="ar"/>
        </w:rPr>
        <w:t>系统讲解国防建设的基本目标与战略方针，强调捍卫国家主权、领土完整及安全发展的重要性。</w:t>
      </w:r>
      <w:r>
        <w:rPr>
          <w:rFonts w:hint="eastAsia" w:ascii="宋体" w:hAnsi="宋体" w:cs="宋体"/>
          <w:bCs/>
          <w:szCs w:val="21"/>
          <w:lang w:bidi="ar"/>
        </w:rPr>
        <w:t>（2）</w:t>
      </w:r>
      <w:r>
        <w:rPr>
          <w:rFonts w:hint="eastAsia" w:ascii="宋体" w:hAnsi="宋体" w:eastAsia="宋体" w:cs="宋体"/>
          <w:bCs/>
          <w:szCs w:val="21"/>
          <w:lang w:bidi="ar"/>
        </w:rPr>
        <w:t>国家安全</w:t>
      </w:r>
      <w:r>
        <w:rPr>
          <w:rFonts w:hint="eastAsia" w:ascii="宋体" w:hAnsi="宋体" w:cs="宋体"/>
          <w:bCs/>
          <w:szCs w:val="21"/>
          <w:lang w:bidi="ar"/>
        </w:rPr>
        <w:t>：</w:t>
      </w:r>
      <w:r>
        <w:rPr>
          <w:rFonts w:hint="eastAsia" w:ascii="宋体" w:hAnsi="宋体" w:eastAsia="宋体" w:cs="宋体"/>
          <w:bCs/>
          <w:szCs w:val="21"/>
          <w:lang w:bidi="ar"/>
        </w:rPr>
        <w:t>通过分析中国复杂的地缘环境与国际战略形势，阐释国家安全与民族复兴的紧密关联。</w:t>
      </w:r>
      <w:r>
        <w:rPr>
          <w:rFonts w:hint="eastAsia" w:ascii="宋体" w:hAnsi="宋体" w:cs="宋体"/>
          <w:bCs/>
          <w:szCs w:val="21"/>
          <w:lang w:bidi="ar"/>
        </w:rPr>
        <w:t>（3）</w:t>
      </w:r>
      <w:r>
        <w:rPr>
          <w:rFonts w:hint="eastAsia" w:ascii="宋体" w:hAnsi="宋体" w:eastAsia="宋体" w:cs="宋体"/>
          <w:bCs/>
          <w:szCs w:val="21"/>
          <w:lang w:bidi="ar"/>
        </w:rPr>
        <w:t>军事思想</w:t>
      </w:r>
      <w:r>
        <w:rPr>
          <w:rFonts w:hint="eastAsia" w:ascii="宋体" w:hAnsi="宋体" w:cs="宋体"/>
          <w:bCs/>
          <w:szCs w:val="21"/>
          <w:lang w:bidi="ar"/>
        </w:rPr>
        <w:t>：</w:t>
      </w:r>
      <w:r>
        <w:rPr>
          <w:rFonts w:hint="eastAsia" w:ascii="宋体" w:hAnsi="宋体" w:eastAsia="宋体" w:cs="宋体"/>
          <w:bCs/>
          <w:szCs w:val="21"/>
          <w:lang w:bidi="ar"/>
        </w:rPr>
        <w:t>深入探讨中国军事思想的演进，从《孙子兵法》等传统兵学智慧到现代信息化战争理论，揭示军事思想对战略决策的深远影响。</w:t>
      </w:r>
      <w:r>
        <w:rPr>
          <w:rFonts w:hint="eastAsia" w:ascii="宋体" w:hAnsi="宋体" w:cs="宋体"/>
          <w:bCs/>
          <w:szCs w:val="21"/>
          <w:lang w:bidi="ar"/>
        </w:rPr>
        <w:t>（4）</w:t>
      </w:r>
      <w:r>
        <w:rPr>
          <w:rFonts w:hint="eastAsia" w:ascii="宋体" w:hAnsi="宋体" w:eastAsia="宋体" w:cs="宋体"/>
          <w:bCs/>
          <w:szCs w:val="21"/>
          <w:lang w:bidi="ar"/>
        </w:rPr>
        <w:t>现代战争</w:t>
      </w:r>
      <w:r>
        <w:rPr>
          <w:rFonts w:hint="eastAsia" w:ascii="宋体" w:hAnsi="宋体" w:cs="宋体"/>
          <w:bCs/>
          <w:szCs w:val="21"/>
          <w:lang w:bidi="ar"/>
        </w:rPr>
        <w:t>：</w:t>
      </w:r>
      <w:r>
        <w:rPr>
          <w:rFonts w:hint="eastAsia" w:ascii="宋体" w:hAnsi="宋体" w:eastAsia="宋体" w:cs="宋体"/>
          <w:bCs/>
          <w:szCs w:val="21"/>
          <w:lang w:bidi="ar"/>
        </w:rPr>
        <w:t>结合现代战争形态的演变，重点解析信息化战争的特征与趋势，剖析精确制导武器、人工智能、网络攻防等关键技术装备的应用。</w:t>
      </w:r>
      <w:r>
        <w:rPr>
          <w:rFonts w:hint="eastAsia" w:ascii="宋体" w:hAnsi="宋体" w:cs="宋体"/>
          <w:bCs/>
          <w:szCs w:val="21"/>
          <w:lang w:bidi="ar"/>
        </w:rPr>
        <w:t>（5）</w:t>
      </w:r>
      <w:r>
        <w:rPr>
          <w:rFonts w:hint="eastAsia" w:ascii="宋体" w:hAnsi="宋体" w:eastAsia="宋体" w:cs="宋体"/>
          <w:bCs/>
          <w:szCs w:val="21"/>
          <w:lang w:bidi="ar"/>
        </w:rPr>
        <w:t>信息化装备</w:t>
      </w:r>
      <w:r>
        <w:rPr>
          <w:rFonts w:hint="eastAsia" w:ascii="宋体" w:hAnsi="宋体" w:cs="宋体"/>
          <w:bCs/>
          <w:szCs w:val="21"/>
          <w:lang w:bidi="ar"/>
        </w:rPr>
        <w:t>：</w:t>
      </w:r>
      <w:r>
        <w:rPr>
          <w:rFonts w:hint="eastAsia" w:ascii="宋体" w:hAnsi="宋体" w:eastAsia="宋体" w:cs="宋体"/>
          <w:bCs/>
          <w:szCs w:val="21"/>
          <w:lang w:bidi="ar"/>
        </w:rPr>
        <w:t>聚焦信息化装备的发展现状，介绍C4ISR系统、智能化作战平台等前沿技术，探讨其如何赋能军队实现“能打仗、打胜仗”的目标，培养国防意识和科技强军理念。</w:t>
      </w:r>
    </w:p>
    <w:p w14:paraId="0E418614">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48FAE777">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（1）教师要求：教师应具备扎实的军事理论基础与交通专业知识，具备军事教学与实践经验，能够结合实际案例进行教学，注重思政教育的贯穿，具有较强的组织与表达能力。</w:t>
      </w:r>
    </w:p>
    <w:p w14:paraId="40D4040F">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（2）教学条件：多配备现代化多媒体教学设备，具备丰富的军事案例资料与典型视频资源，保障教学环节的开展，如模拟指挥训练平台。</w:t>
      </w:r>
    </w:p>
    <w:p w14:paraId="46D899FF">
      <w:pPr>
        <w:autoSpaceDE w:val="0"/>
        <w:adjustRightInd w:val="0"/>
        <w:snapToGrid w:val="0"/>
        <w:spacing w:line="400" w:lineRule="exact"/>
        <w:ind w:firstLine="420" w:firstLineChars="200"/>
        <w:rPr>
          <w:rFonts w:ascii="宋体" w:hAnsi="宋体" w:eastAsia="宋体" w:cs="宋体"/>
          <w:bCs/>
          <w:szCs w:val="21"/>
          <w:lang w:bidi="ar"/>
        </w:rPr>
      </w:pPr>
      <w:r>
        <w:rPr>
          <w:rFonts w:hint="eastAsia" w:ascii="宋体" w:hAnsi="宋体" w:eastAsia="宋体" w:cs="宋体"/>
          <w:bCs/>
          <w:szCs w:val="21"/>
          <w:lang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53D371DF">
      <w:pPr>
        <w:pStyle w:val="22"/>
        <w:autoSpaceDE w:val="0"/>
        <w:spacing w:line="400" w:lineRule="exact"/>
        <w:ind w:firstLine="420" w:firstLineChars="200"/>
        <w:rPr>
          <w:color w:val="000000"/>
          <w:lang w:eastAsia="zh-CN"/>
        </w:rPr>
      </w:pPr>
      <w:r>
        <w:rPr>
          <w:rFonts w:hint="eastAsia"/>
          <w:bCs/>
          <w:lang w:eastAsia="zh-CN" w:bidi="ar"/>
        </w:rPr>
        <w:t>（4）考核评价：过程考核占40%+综合考核占60%。</w:t>
      </w:r>
      <w:r>
        <w:rPr>
          <w:rFonts w:hint="eastAsia"/>
          <w:color w:val="000000"/>
          <w:lang w:eastAsia="zh-CN"/>
        </w:rPr>
        <w:t>。</w:t>
      </w:r>
    </w:p>
    <w:p w14:paraId="19241043">
      <w:pPr>
        <w:adjustRightInd w:val="0"/>
        <w:snapToGrid w:val="0"/>
        <w:spacing w:line="400" w:lineRule="exact"/>
        <w:ind w:firstLine="422" w:firstLineChars="200"/>
        <w:rPr>
          <w:rFonts w:ascii="宋体" w:hAnsi="宋体" w:eastAsia="宋体" w:cs="宋体"/>
          <w:bCs/>
          <w:szCs w:val="21"/>
        </w:rPr>
      </w:pPr>
      <w:r>
        <w:rPr>
          <w:rFonts w:hint="eastAsia" w:ascii="宋体" w:hAnsi="宋体" w:eastAsia="宋体" w:cs="宋体"/>
          <w:b/>
          <w:szCs w:val="21"/>
          <w:lang w:bidi="ar"/>
        </w:rPr>
        <w:t>6.军事技能</w:t>
      </w:r>
    </w:p>
    <w:p w14:paraId="7366AFD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根据《关于进一步提高学生军事技能训练教育管理的通知》(军动〔2024〕33号)文件要求，军事技能训练重点围绕“规范施训、提升质量”核心目标展开。训练内容涵盖共同条令教育与训练、</w:t>
      </w:r>
      <w:r>
        <w:rPr>
          <w:rFonts w:hint="eastAsia" w:ascii="宋体" w:hAnsi="宋体" w:eastAsia="宋体" w:cs="宋体"/>
          <w:color w:val="4B4B4B"/>
          <w:szCs w:val="21"/>
          <w:shd w:val="clear" w:color="auto" w:fill="FFFFFF"/>
          <w:lang w:bidi="ar"/>
        </w:rPr>
        <w:t>射击与战术训练、</w:t>
      </w:r>
      <w:r>
        <w:rPr>
          <w:rFonts w:hint="eastAsia" w:ascii="宋体" w:hAnsi="宋体" w:eastAsia="宋体" w:cs="宋体"/>
          <w:bCs/>
          <w:szCs w:val="21"/>
          <w:lang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408048B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7ACE694B">
      <w:pPr>
        <w:numPr>
          <w:ilvl w:val="0"/>
          <w:numId w:val="1"/>
        </w:numPr>
        <w:adjustRightInd w:val="0"/>
        <w:snapToGrid w:val="0"/>
        <w:spacing w:line="400" w:lineRule="exact"/>
        <w:ind w:left="0" w:firstLine="420" w:firstLineChars="200"/>
        <w:rPr>
          <w:rFonts w:ascii="宋体" w:hAnsi="宋体" w:eastAsia="宋体" w:cs="宋体"/>
          <w:bCs/>
          <w:szCs w:val="21"/>
        </w:rPr>
      </w:pPr>
      <w:r>
        <w:rPr>
          <w:rFonts w:hint="eastAsia" w:ascii="宋体" w:hAnsi="宋体" w:eastAsia="宋体" w:cs="宋体"/>
          <w:bCs/>
          <w:szCs w:val="21"/>
          <w:lang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2781F2FE">
      <w:pPr>
        <w:numPr>
          <w:ilvl w:val="0"/>
          <w:numId w:val="1"/>
        </w:numPr>
        <w:adjustRightInd w:val="0"/>
        <w:snapToGrid w:val="0"/>
        <w:spacing w:line="400" w:lineRule="exact"/>
        <w:ind w:left="0" w:firstLine="420" w:firstLineChars="200"/>
        <w:rPr>
          <w:rFonts w:ascii="宋体" w:hAnsi="宋体" w:eastAsia="宋体" w:cs="宋体"/>
          <w:bCs/>
          <w:szCs w:val="21"/>
        </w:rPr>
      </w:pPr>
      <w:r>
        <w:rPr>
          <w:rFonts w:hint="eastAsia" w:ascii="宋体" w:hAnsi="宋体" w:eastAsia="宋体" w:cs="宋体"/>
          <w:bCs/>
          <w:szCs w:val="21"/>
          <w:lang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6649B2FF">
      <w:pPr>
        <w:numPr>
          <w:ilvl w:val="0"/>
          <w:numId w:val="1"/>
        </w:numPr>
        <w:adjustRightInd w:val="0"/>
        <w:snapToGrid w:val="0"/>
        <w:spacing w:line="400" w:lineRule="exact"/>
        <w:ind w:left="0" w:firstLine="420" w:firstLineChars="200"/>
        <w:rPr>
          <w:rFonts w:ascii="宋体" w:hAnsi="宋体" w:eastAsia="宋体" w:cs="宋体"/>
          <w:bCs/>
          <w:szCs w:val="21"/>
        </w:rPr>
      </w:pPr>
      <w:r>
        <w:rPr>
          <w:rFonts w:hint="eastAsia" w:ascii="宋体" w:hAnsi="宋体" w:eastAsia="宋体" w:cs="宋体"/>
          <w:bCs/>
          <w:szCs w:val="21"/>
          <w:lang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192C8C0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5CA6A14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学校军事技能训练时间不少于3周，计2学分。训练时间安排在新生入学后前3周，由学校武装部统筹组织。</w:t>
      </w:r>
    </w:p>
    <w:p w14:paraId="0337E033">
      <w:pPr>
        <w:numPr>
          <w:ilvl w:val="0"/>
          <w:numId w:val="2"/>
        </w:num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军事技能理论知识学习：习近平强军思想，三大条令的学习，轻武器性能、构造与保养，简易射击原理，战场医疗救护基本知识，战备规定的内容与要求，地形图基本知识。</w:t>
      </w:r>
    </w:p>
    <w:p w14:paraId="40D944D3">
      <w:pPr>
        <w:numPr>
          <w:ilvl w:val="0"/>
          <w:numId w:val="2"/>
        </w:num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个人军事技能学习与掌握：队列动作，轻武器射击，军事格斗技能，战术运动，战场救护实操，战场防护实操，地图使用方法。</w:t>
      </w:r>
    </w:p>
    <w:p w14:paraId="30FDF16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r>
        <w:rPr>
          <w:rFonts w:hint="eastAsia" w:ascii="宋体" w:hAnsi="宋体" w:cs="宋体"/>
          <w:b/>
          <w:szCs w:val="21"/>
          <w:lang w:bidi="ar"/>
        </w:rPr>
        <w:t>：</w:t>
      </w:r>
    </w:p>
    <w:p w14:paraId="5C005456">
      <w:pPr>
        <w:numPr>
          <w:ilvl w:val="0"/>
          <w:numId w:val="3"/>
        </w:num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14570FB2">
      <w:pPr>
        <w:numPr>
          <w:ilvl w:val="0"/>
          <w:numId w:val="3"/>
        </w:num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048A96A1">
      <w:pPr>
        <w:numPr>
          <w:ilvl w:val="0"/>
          <w:numId w:val="3"/>
        </w:num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4FD315E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627F89B6">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cs="宋体"/>
          <w:b/>
          <w:szCs w:val="21"/>
        </w:rPr>
        <w:t>7.大学英语</w:t>
      </w:r>
    </w:p>
    <w:p w14:paraId="1A9096A0">
      <w:pPr>
        <w:autoSpaceDE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r>
        <w:rPr>
          <w:rFonts w:hint="eastAsia" w:ascii="宋体" w:hAnsi="宋体" w:cs="宋体"/>
          <w:b/>
          <w:szCs w:val="21"/>
          <w:lang w:bidi="ar"/>
        </w:rPr>
        <w:t>：</w:t>
      </w:r>
    </w:p>
    <w:p w14:paraId="711C1E06">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cs="宋体"/>
          <w:color w:val="1C1F23"/>
          <w:szCs w:val="21"/>
          <w:shd w:val="clear" w:color="auto" w:fill="FFFFFF"/>
        </w:rPr>
        <w:t>（1）</w:t>
      </w:r>
      <w:r>
        <w:rPr>
          <w:rFonts w:hint="eastAsia" w:ascii="宋体" w:hAnsi="宋体" w:eastAsia="宋体" w:cs="宋体"/>
          <w:color w:val="1C1F23"/>
          <w:szCs w:val="21"/>
          <w:shd w:val="clear" w:color="auto" w:fill="FFFFFF"/>
        </w:rPr>
        <w:t>知识目标</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6E6D9815">
      <w:pPr>
        <w:autoSpaceDE w:val="0"/>
        <w:spacing w:line="400" w:lineRule="exact"/>
        <w:ind w:firstLine="420" w:firstLineChars="200"/>
        <w:rPr>
          <w:rFonts w:ascii="宋体" w:hAnsi="宋体" w:eastAsia="宋体" w:cs="宋体"/>
          <w:szCs w:val="21"/>
        </w:rPr>
      </w:pPr>
      <w:r>
        <w:rPr>
          <w:rFonts w:hint="eastAsia" w:ascii="宋体" w:hAnsi="宋体" w:cs="宋体"/>
          <w:color w:val="1C1F23"/>
          <w:szCs w:val="21"/>
          <w:shd w:val="clear" w:color="auto" w:fill="FFFFFF"/>
        </w:rPr>
        <w:t>（2）</w:t>
      </w:r>
      <w:r>
        <w:rPr>
          <w:rFonts w:hint="eastAsia" w:ascii="宋体" w:hAnsi="宋体" w:eastAsia="宋体" w:cs="宋体"/>
          <w:color w:val="1C1F23"/>
          <w:szCs w:val="21"/>
          <w:shd w:val="clear" w:color="auto" w:fill="FFFFFF"/>
        </w:rPr>
        <w:t>能力目标</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4337D03D">
      <w:pPr>
        <w:autoSpaceDE w:val="0"/>
        <w:spacing w:line="400" w:lineRule="exact"/>
        <w:ind w:firstLine="420" w:firstLineChars="200"/>
        <w:rPr>
          <w:rFonts w:ascii="宋体" w:hAnsi="宋体" w:eastAsia="宋体" w:cs="宋体"/>
          <w:szCs w:val="21"/>
        </w:rPr>
      </w:pPr>
      <w:r>
        <w:rPr>
          <w:rFonts w:hint="eastAsia" w:ascii="宋体" w:hAnsi="宋体" w:cs="宋体"/>
          <w:color w:val="1C1F23"/>
          <w:szCs w:val="21"/>
          <w:shd w:val="clear" w:color="auto" w:fill="FFFFFF"/>
        </w:rPr>
        <w:t>（3）</w:t>
      </w:r>
      <w:r>
        <w:rPr>
          <w:rFonts w:hint="eastAsia" w:ascii="宋体" w:hAnsi="宋体" w:eastAsia="宋体" w:cs="宋体"/>
          <w:color w:val="1C1F23"/>
          <w:szCs w:val="21"/>
          <w:shd w:val="clear" w:color="auto" w:fill="FFFFFF"/>
        </w:rPr>
        <w:t>素质目标</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647AAF07">
      <w:pPr>
        <w:autoSpaceDE w:val="0"/>
        <w:spacing w:line="400" w:lineRule="exact"/>
        <w:ind w:firstLine="422" w:firstLineChars="200"/>
        <w:rPr>
          <w:rFonts w:ascii="宋体" w:hAnsi="宋体" w:cs="宋体"/>
          <w:b/>
          <w:bCs/>
          <w:color w:val="1C1F23"/>
          <w:szCs w:val="21"/>
          <w:shd w:val="clear" w:color="auto" w:fill="FFFFFF"/>
        </w:rPr>
      </w:pPr>
      <w:r>
        <w:rPr>
          <w:rFonts w:hint="eastAsia" w:ascii="宋体" w:hAnsi="宋体" w:eastAsia="宋体" w:cs="宋体"/>
          <w:b/>
          <w:bCs/>
          <w:color w:val="1C1F23"/>
          <w:szCs w:val="21"/>
          <w:shd w:val="clear" w:color="auto" w:fill="FFFFFF"/>
        </w:rPr>
        <w:t>主要内容</w:t>
      </w:r>
      <w:r>
        <w:rPr>
          <w:rFonts w:hint="eastAsia" w:ascii="宋体" w:hAnsi="宋体" w:cs="宋体"/>
          <w:b/>
          <w:bCs/>
          <w:color w:val="1C1F23"/>
          <w:szCs w:val="21"/>
          <w:shd w:val="clear" w:color="auto" w:fill="FFFFFF"/>
        </w:rPr>
        <w:t>：</w:t>
      </w:r>
    </w:p>
    <w:p w14:paraId="2076BD71">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（1）日常交际与基础语法</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问候、兴趣爱好、体育运动</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自我介绍、校园生活</w:t>
      </w:r>
      <w:r>
        <w:rPr>
          <w:rFonts w:hint="eastAsia" w:ascii="宋体" w:hAnsi="宋体" w:cs="宋体"/>
          <w:color w:val="1C1F23"/>
          <w:szCs w:val="21"/>
          <w:shd w:val="clear" w:color="auto" w:fill="FFFFFF"/>
        </w:rPr>
        <w:t>等</w:t>
      </w:r>
      <w:r>
        <w:rPr>
          <w:rFonts w:hint="eastAsia" w:ascii="宋体" w:hAnsi="宋体" w:eastAsia="宋体" w:cs="宋体"/>
          <w:color w:val="1C1F23"/>
          <w:szCs w:val="21"/>
          <w:shd w:val="clear" w:color="auto" w:fill="FFFFFF"/>
        </w:rPr>
        <w:t>主题交流</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旅行场景对话（如购票、问路），融入交通站点标识英文表达，掌握形容词与副词、代词的用法；学习情态动词、基本句型及对话翻译技巧</w:t>
      </w:r>
      <w:r>
        <w:rPr>
          <w:rFonts w:hint="eastAsia" w:ascii="宋体" w:hAnsi="宋体" w:cs="宋体"/>
          <w:color w:val="1C1F23"/>
          <w:szCs w:val="21"/>
          <w:shd w:val="clear" w:color="auto" w:fill="FFFFFF"/>
        </w:rPr>
        <w:t>。</w:t>
      </w:r>
    </w:p>
    <w:p w14:paraId="5D8D8DD2">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（2）实用写作与文化传承</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个人资料、名片、通知、海报写作规范，结合校园活动设计实践任务；邀请函、感谢信、贺卡写作，融入春节习俗等</w:t>
      </w:r>
      <w:r>
        <w:rPr>
          <w:rFonts w:hint="eastAsia" w:ascii="宋体" w:hAnsi="宋体" w:cs="宋体"/>
          <w:color w:val="1C1F23"/>
          <w:szCs w:val="21"/>
          <w:shd w:val="clear" w:color="auto" w:fill="FFFFFF"/>
        </w:rPr>
        <w:t>传统</w:t>
      </w:r>
      <w:r>
        <w:rPr>
          <w:rFonts w:hint="eastAsia" w:ascii="宋体" w:hAnsi="宋体" w:eastAsia="宋体" w:cs="宋体"/>
          <w:color w:val="1C1F23"/>
          <w:szCs w:val="21"/>
          <w:shd w:val="clear" w:color="auto" w:fill="FFFFFF"/>
        </w:rPr>
        <w:t>文化元素，强化文化传播能力；欠条、收据、请假条写作，结合银行服务、职场场景开展案例分析。</w:t>
      </w:r>
    </w:p>
    <w:p w14:paraId="79A37614">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（3）健康生活与交通服务</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餐厅就餐、就医场景英语表达，学习限制性定语从句、被动语态翻译；车站餐厅点餐模拟，掌握交通服务场景核心词汇与句型；心理健康、个人理财主题阅读，渗透健康生活、理性消费理念。</w:t>
      </w:r>
    </w:p>
    <w:p w14:paraId="60799904">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 xml:space="preserve">（4）职场应用与高阶语法银行服务、预约场景英语沟通，学习虚拟语气、状语从句翻译技巧；商务信函、简历写作规范，结合职场需求设计模拟任务；分析不定式与动名词、分词的语法功能。 </w:t>
      </w:r>
      <w:r>
        <w:rPr>
          <w:rFonts w:hint="eastAsia" w:ascii="宋体" w:hAnsi="宋体" w:cs="宋体"/>
          <w:color w:val="1C1F23"/>
          <w:szCs w:val="21"/>
          <w:shd w:val="clear" w:color="auto" w:fill="FFFFFF"/>
        </w:rPr>
        <w:t xml:space="preserve">  </w:t>
      </w:r>
      <w:r>
        <w:rPr>
          <w:rFonts w:hint="eastAsia" w:ascii="宋体" w:hAnsi="宋体" w:eastAsia="宋体" w:cs="宋体"/>
          <w:color w:val="1C1F23"/>
          <w:szCs w:val="21"/>
          <w:shd w:val="clear" w:color="auto" w:fill="FFFFFF"/>
        </w:rPr>
        <w:t xml:space="preserve"> </w:t>
      </w:r>
    </w:p>
    <w:p w14:paraId="2B6AD416">
      <w:pPr>
        <w:autoSpaceDE w:val="0"/>
        <w:spacing w:line="400" w:lineRule="exact"/>
        <w:ind w:firstLine="422" w:firstLineChars="200"/>
        <w:rPr>
          <w:rFonts w:ascii="宋体" w:hAnsi="宋体" w:cs="宋体"/>
          <w:b/>
          <w:bCs/>
          <w:color w:val="1C1F23"/>
          <w:szCs w:val="21"/>
          <w:shd w:val="clear" w:color="auto" w:fill="FFFFFF"/>
        </w:rPr>
      </w:pPr>
      <w:r>
        <w:rPr>
          <w:rFonts w:hint="eastAsia" w:ascii="宋体" w:hAnsi="宋体" w:eastAsia="宋体" w:cs="宋体"/>
          <w:b/>
          <w:bCs/>
          <w:color w:val="1C1F23"/>
          <w:szCs w:val="21"/>
          <w:shd w:val="clear" w:color="auto" w:fill="FFFFFF"/>
        </w:rPr>
        <w:t>教学要求</w:t>
      </w:r>
      <w:r>
        <w:rPr>
          <w:rFonts w:hint="eastAsia" w:ascii="宋体" w:hAnsi="宋体" w:cs="宋体"/>
          <w:b/>
          <w:bCs/>
          <w:color w:val="1C1F23"/>
          <w:szCs w:val="21"/>
          <w:shd w:val="clear" w:color="auto" w:fill="FFFFFF"/>
        </w:rPr>
        <w:t>：</w:t>
      </w:r>
    </w:p>
    <w:p w14:paraId="2FCA5655">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（1）教师要求</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390D7633">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（2）教学条件</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 xml:space="preserve">理论教学需配备多媒体教室，实践教学依托语音实验室，配备听力训练软件、口语互动设备；搭建在线教学平台，支持师生线上互动、作业批改及学习行为跟踪。 </w:t>
      </w:r>
    </w:p>
    <w:p w14:paraId="14441008">
      <w:pPr>
        <w:autoSpaceDE w:val="0"/>
        <w:spacing w:line="400" w:lineRule="exact"/>
        <w:ind w:firstLine="420" w:firstLineChars="200"/>
        <w:rPr>
          <w:rFonts w:ascii="宋体" w:hAnsi="宋体" w:eastAsia="宋体" w:cs="宋体"/>
          <w:color w:val="1C1F23"/>
          <w:szCs w:val="21"/>
          <w:shd w:val="clear" w:color="auto" w:fill="FFFFFF"/>
        </w:rPr>
      </w:pPr>
      <w:r>
        <w:rPr>
          <w:rFonts w:hint="eastAsia" w:ascii="宋体" w:hAnsi="宋体" w:eastAsia="宋体" w:cs="宋体"/>
          <w:color w:val="1C1F23"/>
          <w:szCs w:val="21"/>
          <w:shd w:val="clear" w:color="auto" w:fill="FFFFFF"/>
        </w:rPr>
        <w:t>（</w:t>
      </w:r>
      <w:r>
        <w:rPr>
          <w:rFonts w:hint="eastAsia" w:ascii="宋体" w:hAnsi="宋体" w:cs="宋体"/>
          <w:color w:val="1C1F23"/>
          <w:szCs w:val="21"/>
          <w:shd w:val="clear" w:color="auto" w:fill="FFFFFF"/>
        </w:rPr>
        <w:t>3</w:t>
      </w:r>
      <w:r>
        <w:rPr>
          <w:rFonts w:hint="eastAsia" w:ascii="宋体" w:hAnsi="宋体" w:eastAsia="宋体" w:cs="宋体"/>
          <w:color w:val="1C1F23"/>
          <w:szCs w:val="21"/>
          <w:shd w:val="clear" w:color="auto" w:fill="FFFFFF"/>
        </w:rPr>
        <w:t>）教学方法</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 xml:space="preserve">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 </w:t>
      </w:r>
    </w:p>
    <w:p w14:paraId="64AA4693">
      <w:pPr>
        <w:autoSpaceDE w:val="0"/>
        <w:spacing w:line="400" w:lineRule="exact"/>
        <w:ind w:firstLine="420" w:firstLineChars="200"/>
        <w:rPr>
          <w:rFonts w:ascii="宋体" w:hAnsi="宋体" w:eastAsia="宋体" w:cs="宋体"/>
          <w:szCs w:val="21"/>
        </w:rPr>
      </w:pPr>
      <w:r>
        <w:rPr>
          <w:rFonts w:hint="eastAsia" w:ascii="宋体" w:hAnsi="宋体" w:eastAsia="宋体" w:cs="宋体"/>
          <w:color w:val="1C1F23"/>
          <w:szCs w:val="21"/>
          <w:shd w:val="clear" w:color="auto" w:fill="FFFFFF"/>
        </w:rPr>
        <w:t>（4）考核评价</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过程考核占40%，综合考核占60%（期末综合测试）。</w:t>
      </w:r>
      <w:r>
        <w:rPr>
          <w:rFonts w:hint="eastAsia" w:ascii="宋体" w:hAnsi="宋体" w:cs="宋体"/>
          <w:color w:val="1C1F23"/>
          <w:szCs w:val="21"/>
          <w:shd w:val="clear" w:color="auto" w:fill="FFFFFF"/>
        </w:rPr>
        <w:t>综合</w:t>
      </w:r>
      <w:r>
        <w:rPr>
          <w:rFonts w:hint="eastAsia" w:ascii="宋体" w:hAnsi="宋体" w:eastAsia="宋体" w:cs="宋体"/>
          <w:color w:val="1C1F23"/>
          <w:szCs w:val="21"/>
          <w:shd w:val="clear" w:color="auto" w:fill="FFFFFF"/>
        </w:rPr>
        <w:t>涵盖阅读</w:t>
      </w:r>
      <w:r>
        <w:rPr>
          <w:rFonts w:hint="eastAsia" w:ascii="宋体" w:hAnsi="宋体" w:cs="宋体"/>
          <w:color w:val="1C1F23"/>
          <w:szCs w:val="21"/>
          <w:shd w:val="clear" w:color="auto" w:fill="FFFFFF"/>
        </w:rPr>
        <w:t>、语法</w:t>
      </w:r>
      <w:r>
        <w:rPr>
          <w:rFonts w:hint="eastAsia" w:ascii="宋体" w:hAnsi="宋体" w:eastAsia="宋体" w:cs="宋体"/>
          <w:color w:val="1C1F23"/>
          <w:szCs w:val="21"/>
          <w:shd w:val="clear" w:color="auto" w:fill="FFFFFF"/>
        </w:rPr>
        <w:t>、</w:t>
      </w:r>
      <w:r>
        <w:rPr>
          <w:rFonts w:hint="eastAsia" w:ascii="宋体" w:hAnsi="宋体" w:cs="宋体"/>
          <w:color w:val="1C1F23"/>
          <w:szCs w:val="21"/>
          <w:shd w:val="clear" w:color="auto" w:fill="FFFFFF"/>
        </w:rPr>
        <w:t>词汇、翻译、</w:t>
      </w:r>
      <w:r>
        <w:rPr>
          <w:rFonts w:hint="eastAsia" w:ascii="宋体" w:hAnsi="宋体" w:eastAsia="宋体" w:cs="宋体"/>
          <w:color w:val="1C1F23"/>
          <w:szCs w:val="21"/>
          <w:shd w:val="clear" w:color="auto" w:fill="FFFFFF"/>
        </w:rPr>
        <w:t>写作等多维度能力评测</w:t>
      </w:r>
      <w:r>
        <w:rPr>
          <w:rFonts w:hint="eastAsia" w:ascii="宋体" w:hAnsi="宋体" w:cs="宋体"/>
          <w:color w:val="1C1F23"/>
          <w:szCs w:val="21"/>
          <w:shd w:val="clear" w:color="auto" w:fill="FFFFFF"/>
        </w:rPr>
        <w:t>，</w:t>
      </w:r>
      <w:r>
        <w:rPr>
          <w:rFonts w:hint="eastAsia" w:ascii="宋体" w:hAnsi="宋体" w:eastAsia="宋体" w:cs="宋体"/>
          <w:color w:val="1C1F23"/>
          <w:szCs w:val="21"/>
          <w:shd w:val="clear" w:color="auto" w:fill="FFFFFF"/>
        </w:rPr>
        <w:t>考查实际语言运用能力。</w:t>
      </w:r>
    </w:p>
    <w:p w14:paraId="2BEE32F7">
      <w:pPr>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8.大学语文</w:t>
      </w:r>
    </w:p>
    <w:p w14:paraId="5FF68D35">
      <w:pPr>
        <w:pStyle w:val="22"/>
        <w:widowControl/>
        <w:spacing w:line="400" w:lineRule="exact"/>
        <w:ind w:firstLine="422" w:firstLineChars="200"/>
        <w:rPr>
          <w:b/>
          <w:lang w:eastAsia="zh-CN"/>
        </w:rPr>
      </w:pPr>
      <w:r>
        <w:rPr>
          <w:rFonts w:hint="eastAsia"/>
          <w:b/>
          <w:lang w:eastAsia="zh-CN"/>
        </w:rPr>
        <w:t>课程目标：</w:t>
      </w:r>
    </w:p>
    <w:p w14:paraId="14E3ECE2">
      <w:pPr>
        <w:pStyle w:val="22"/>
        <w:autoSpaceDE w:val="0"/>
        <w:spacing w:line="400" w:lineRule="exact"/>
        <w:ind w:firstLine="420" w:firstLineChars="200"/>
        <w:rPr>
          <w:bCs/>
          <w:lang w:eastAsia="zh-CN"/>
        </w:rPr>
      </w:pPr>
      <w:r>
        <w:rPr>
          <w:rFonts w:hint="eastAsia"/>
          <w:bCs/>
          <w:lang w:eastAsia="zh-CN"/>
        </w:rPr>
        <w:t>（1）知识目标：掌握口语表达的基本技巧与礼仪规范，了解不同场景的语言特点；熟知中外经典文学作品的思想内涵与艺术手法；掌握各类应用文的格式规范与写作要求。</w:t>
      </w:r>
    </w:p>
    <w:p w14:paraId="57643743">
      <w:pPr>
        <w:pStyle w:val="22"/>
        <w:autoSpaceDE w:val="0"/>
        <w:spacing w:line="400" w:lineRule="exact"/>
        <w:ind w:firstLine="420" w:firstLineChars="200"/>
        <w:rPr>
          <w:bCs/>
          <w:lang w:eastAsia="zh-CN"/>
        </w:rPr>
      </w:pPr>
      <w:r>
        <w:rPr>
          <w:rFonts w:hint="eastAsia"/>
          <w:bCs/>
          <w:lang w:eastAsia="zh-CN"/>
        </w:rPr>
        <w:t>（2）能力目标：理解与运用祖国语言文字的能力（包括写作能力、语言表达能力、交际能力等）；掌握鉴赏评价文学作品的能力。</w:t>
      </w:r>
    </w:p>
    <w:p w14:paraId="7B08627E">
      <w:pPr>
        <w:pStyle w:val="22"/>
        <w:autoSpaceDE w:val="0"/>
        <w:spacing w:line="400" w:lineRule="exact"/>
        <w:ind w:firstLine="420" w:firstLineChars="200"/>
        <w:rPr>
          <w:bCs/>
          <w:lang w:eastAsia="zh-CN"/>
        </w:rPr>
      </w:pPr>
      <w:r>
        <w:rPr>
          <w:rFonts w:hint="eastAsia"/>
          <w:bCs/>
          <w:lang w:eastAsia="zh-CN"/>
        </w:rPr>
        <w:t>（3）素质目标：了解中华民族的优秀传统文化，培养学生高尚的思想品质和良好的道德情操，接受爱国主义的熏陶和教育，增强民族感和自信心。</w:t>
      </w:r>
    </w:p>
    <w:p w14:paraId="5442EE21">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5FCA7738">
      <w:pPr>
        <w:adjustRightInd w:val="0"/>
        <w:snapToGrid w:val="0"/>
        <w:spacing w:line="400" w:lineRule="exact"/>
        <w:ind w:firstLine="420" w:firstLineChars="200"/>
        <w:rPr>
          <w:rFonts w:ascii="宋体" w:hAnsi="宋体" w:eastAsia="宋体" w:cs="宋体"/>
          <w:bCs/>
          <w:szCs w:val="21"/>
          <w:lang w:bidi="ar"/>
        </w:rPr>
      </w:pPr>
      <w:r>
        <w:rPr>
          <w:rFonts w:hint="eastAsia" w:ascii="宋体" w:hAnsi="宋体" w:eastAsia="宋体" w:cs="宋体"/>
          <w:bCs/>
          <w:szCs w:val="21"/>
          <w:lang w:bidi="ar"/>
        </w:rPr>
        <w:t>（1）口语表达：涵盖普通话口语训练、日常交谈、求职等场景的表达技巧训练，以及</w:t>
      </w:r>
    </w:p>
    <w:p w14:paraId="2952CB59">
      <w:pPr>
        <w:adjustRightInd w:val="0"/>
        <w:snapToGrid w:val="0"/>
        <w:spacing w:line="400" w:lineRule="exact"/>
        <w:ind w:firstLine="420" w:firstLineChars="200"/>
        <w:rPr>
          <w:rFonts w:ascii="宋体" w:hAnsi="宋体" w:eastAsia="宋体" w:cs="宋体"/>
          <w:bCs/>
          <w:szCs w:val="21"/>
          <w:lang w:bidi="ar"/>
        </w:rPr>
      </w:pPr>
      <w:r>
        <w:rPr>
          <w:rFonts w:hint="eastAsia" w:ascii="宋体" w:hAnsi="宋体" w:eastAsia="宋体" w:cs="宋体"/>
          <w:bCs/>
          <w:szCs w:val="21"/>
          <w:lang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55F23245">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788DE187">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（1）</w:t>
      </w:r>
      <w:r>
        <w:rPr>
          <w:rFonts w:hint="eastAsia" w:ascii="宋体" w:hAnsi="宋体" w:eastAsia="宋体" w:cs="宋体"/>
          <w:bCs/>
          <w:szCs w:val="21"/>
          <w:lang w:bidi="ar"/>
        </w:rPr>
        <w:t>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7A368C0E">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（2）</w:t>
      </w:r>
      <w:r>
        <w:rPr>
          <w:rFonts w:hint="eastAsia" w:ascii="宋体" w:hAnsi="宋体" w:eastAsia="宋体" w:cs="宋体"/>
          <w:bCs/>
          <w:szCs w:val="21"/>
          <w:lang w:bidi="ar"/>
        </w:rPr>
        <w:t>教学条件：多媒体辅助课件</w:t>
      </w:r>
    </w:p>
    <w:p w14:paraId="609A1845">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（3）教学方法：现场教学法、小组讨论法、案例教学法、</w:t>
      </w:r>
      <w:r>
        <w:rPr>
          <w:rFonts w:hint="eastAsia" w:ascii="宋体" w:hAnsi="宋体" w:cs="宋体"/>
          <w:bCs/>
          <w:szCs w:val="21"/>
          <w:lang w:bidi="ar"/>
        </w:rPr>
        <w:t>情景</w:t>
      </w:r>
      <w:r>
        <w:rPr>
          <w:rFonts w:hint="eastAsia" w:ascii="宋体" w:hAnsi="宋体" w:eastAsia="宋体" w:cs="宋体"/>
          <w:bCs/>
          <w:szCs w:val="21"/>
          <w:lang w:bidi="ar"/>
        </w:rPr>
        <w:t>模拟法</w:t>
      </w:r>
    </w:p>
    <w:p w14:paraId="2C41F0D1">
      <w:pPr>
        <w:adjustRightInd w:val="0"/>
        <w:snapToGrid w:val="0"/>
        <w:spacing w:line="400" w:lineRule="exact"/>
        <w:ind w:firstLine="420" w:firstLineChars="200"/>
        <w:rPr>
          <w:rFonts w:ascii="Times New Roman" w:hAnsi="Times New Roman" w:cs="宋体"/>
          <w:b/>
          <w:szCs w:val="21"/>
        </w:rPr>
      </w:pPr>
      <w:r>
        <w:rPr>
          <w:rFonts w:hint="eastAsia" w:ascii="宋体" w:hAnsi="宋体" w:eastAsia="宋体" w:cs="宋体"/>
          <w:bCs/>
          <w:szCs w:val="21"/>
          <w:lang w:bidi="ar"/>
        </w:rPr>
        <w:t>（4）考核评价：过程考核占</w:t>
      </w:r>
      <w:r>
        <w:rPr>
          <w:rFonts w:ascii="宋体" w:hAnsi="宋体" w:cs="宋体"/>
          <w:bCs/>
          <w:szCs w:val="21"/>
          <w:lang w:bidi="ar"/>
        </w:rPr>
        <w:t>4</w:t>
      </w:r>
      <w:r>
        <w:rPr>
          <w:rFonts w:hint="eastAsia" w:ascii="宋体" w:hAnsi="宋体" w:eastAsia="宋体" w:cs="宋体"/>
          <w:bCs/>
          <w:szCs w:val="21"/>
          <w:lang w:bidi="ar"/>
        </w:rPr>
        <w:t>0%+期末综合考核占</w:t>
      </w:r>
      <w:r>
        <w:rPr>
          <w:rFonts w:ascii="宋体" w:hAnsi="宋体" w:cs="宋体"/>
          <w:bCs/>
          <w:szCs w:val="21"/>
          <w:lang w:bidi="ar"/>
        </w:rPr>
        <w:t>6</w:t>
      </w:r>
      <w:r>
        <w:rPr>
          <w:rFonts w:hint="eastAsia" w:ascii="宋体" w:hAnsi="宋体" w:eastAsia="宋体" w:cs="宋体"/>
          <w:bCs/>
          <w:szCs w:val="21"/>
          <w:lang w:bidi="ar"/>
        </w:rPr>
        <w:t>0%。</w:t>
      </w:r>
    </w:p>
    <w:p w14:paraId="30A9B163">
      <w:pPr>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9.高等数学A</w:t>
      </w:r>
    </w:p>
    <w:p w14:paraId="11207775">
      <w:pPr>
        <w:pStyle w:val="12"/>
        <w:spacing w:beforeAutospacing="0" w:afterAutospacing="0" w:line="400" w:lineRule="exact"/>
        <w:ind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7686C554">
      <w:pPr>
        <w:pStyle w:val="12"/>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通过本课程的学习，使学生掌握函数极限的定义和极限的运算法则，理解函数连续的定义；掌握函数微积分的基本概念、基本理论、基本运算和典型应用；掌握微分方程和多元函数微积分的基本概念、基本理论、基本运算和典型应用；通过各个教学环节逐步培养学生具有一定的运算能力、逻辑推理能力、抽象概括能力、综合运用所学知识分析和解决问题的能力、运用工具的能力和自学能力。</w:t>
      </w:r>
    </w:p>
    <w:p w14:paraId="0FA10F6C">
      <w:pPr>
        <w:pStyle w:val="12"/>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（2）能力目标：培养学生具有一定的运算能力、逻辑推理能力、抽象概括能力、综合运用所学知识分析和解决问题的能力、运用工具的能力和自学能力。</w:t>
      </w:r>
    </w:p>
    <w:p w14:paraId="00670517">
      <w:pPr>
        <w:pStyle w:val="12"/>
        <w:spacing w:beforeAutospacing="0" w:afterAutospacing="0" w:line="400" w:lineRule="exact"/>
        <w:ind w:firstLine="420" w:firstLineChars="200"/>
        <w:jc w:val="both"/>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（3）素质目标：培养学生谦虚、好学的能力；培养学生勤于思考、做事认真的良好作风；培养学生良好的职业道德。</w:t>
      </w:r>
    </w:p>
    <w:p w14:paraId="17A1E18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62B2E3F2">
      <w:pPr>
        <w:pStyle w:val="12"/>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第一学期的学习内容为:函数、极限与连续；一元函数微分学；一元函数积分学；</w:t>
      </w:r>
    </w:p>
    <w:p w14:paraId="16E24F33">
      <w:pPr>
        <w:pStyle w:val="12"/>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第二学期的学习内容为:微分方程；多元函数微分学；行列式和矩阵、线性方程组。</w:t>
      </w:r>
    </w:p>
    <w:p w14:paraId="4E8D006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738D4FFB">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（1）</w:t>
      </w:r>
      <w:r>
        <w:rPr>
          <w:rFonts w:hint="eastAsia" w:ascii="宋体" w:hAnsi="宋体" w:eastAsia="宋体" w:cs="宋体"/>
          <w:bCs/>
          <w:szCs w:val="21"/>
          <w:lang w:bidi="ar"/>
        </w:rPr>
        <w:t>教师要求：掌握函数极限的定义和极限的运算法则，掌握函数连续的定义；掌握一元函数微积分、定积分、不定积分的基本概念、基本理论、基本运算和典型应用；掌握行列式和矩阵、线性方程组的基本概念、基本理论、运算法则；掌握微分方程和多元函数微积分的基本概念、基本理论、基本运算和典型应用；能用通俗易懂的语言给学生传授相关知识。</w:t>
      </w:r>
    </w:p>
    <w:p w14:paraId="19F9D20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（2）教学条件：多媒体辅助课件,投影设备,黑板等。</w:t>
      </w:r>
    </w:p>
    <w:p w14:paraId="0AB1C92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（3）教学方法：现场教学法、分组讨论法、直观演示法、自主学习法和任务驱动法。</w:t>
      </w:r>
    </w:p>
    <w:p w14:paraId="329F8267">
      <w:pPr>
        <w:adjustRightInd w:val="0"/>
        <w:snapToGrid w:val="0"/>
        <w:spacing w:line="400" w:lineRule="exact"/>
        <w:ind w:firstLine="420" w:firstLineChars="200"/>
        <w:rPr>
          <w:rFonts w:ascii="Times New Roman" w:hAnsi="Times New Roman" w:cs="宋体"/>
          <w:b/>
          <w:szCs w:val="21"/>
        </w:rPr>
      </w:pPr>
      <w:r>
        <w:rPr>
          <w:rFonts w:hint="eastAsia" w:ascii="宋体" w:hAnsi="宋体" w:eastAsia="宋体" w:cs="宋体"/>
          <w:bCs/>
          <w:szCs w:val="21"/>
          <w:lang w:bidi="ar"/>
        </w:rPr>
        <w:t>（4）考核评价：过程考核占40%+综合考核占60%。</w:t>
      </w:r>
    </w:p>
    <w:p w14:paraId="5A8433C9">
      <w:pPr>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10.大学体育</w:t>
      </w:r>
    </w:p>
    <w:p w14:paraId="02574377">
      <w:pPr>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1F25F887">
      <w:pPr>
        <w:spacing w:line="400" w:lineRule="exact"/>
        <w:ind w:firstLine="420" w:firstLineChars="200"/>
        <w:rPr>
          <w:rFonts w:ascii="宋体" w:hAnsi="宋体" w:eastAsia="宋体" w:cs="宋体"/>
          <w:bCs/>
          <w:szCs w:val="21"/>
        </w:rPr>
      </w:pPr>
      <w:r>
        <w:rPr>
          <w:rFonts w:hint="eastAsia" w:ascii="宋体" w:hAnsi="宋体" w:eastAsia="宋体" w:cs="宋体"/>
          <w:bCs/>
          <w:szCs w:val="21"/>
        </w:rPr>
        <w:t>（</w:t>
      </w:r>
      <w:r>
        <w:rPr>
          <w:rFonts w:ascii="宋体" w:hAnsi="宋体" w:eastAsia="宋体" w:cs="宋体"/>
          <w:bCs/>
          <w:szCs w:val="21"/>
        </w:rPr>
        <w:t>1</w:t>
      </w:r>
      <w:r>
        <w:rPr>
          <w:rFonts w:hint="eastAsia" w:ascii="宋体" w:hAnsi="宋体" w:eastAsia="宋体" w:cs="宋体"/>
          <w:bCs/>
          <w:szCs w:val="21"/>
        </w:rPr>
        <w:t>）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5B93F019">
      <w:pPr>
        <w:spacing w:line="400" w:lineRule="exact"/>
        <w:ind w:firstLine="420" w:firstLineChars="200"/>
        <w:rPr>
          <w:rFonts w:ascii="宋体" w:hAnsi="宋体" w:eastAsia="宋体" w:cs="宋体"/>
          <w:bCs/>
          <w:szCs w:val="21"/>
        </w:rPr>
      </w:pPr>
      <w:r>
        <w:rPr>
          <w:rFonts w:hint="eastAsia" w:ascii="宋体" w:hAnsi="宋体" w:eastAsia="宋体" w:cs="宋体"/>
          <w:bCs/>
          <w:szCs w:val="21"/>
        </w:rPr>
        <w:t>（</w:t>
      </w:r>
      <w:r>
        <w:rPr>
          <w:rFonts w:ascii="宋体" w:hAnsi="宋体" w:eastAsia="宋体" w:cs="宋体"/>
          <w:bCs/>
          <w:szCs w:val="21"/>
        </w:rPr>
        <w:t>2</w:t>
      </w:r>
      <w:r>
        <w:rPr>
          <w:rFonts w:hint="eastAsia" w:ascii="宋体" w:hAnsi="宋体" w:eastAsia="宋体" w:cs="宋体"/>
          <w:bCs/>
          <w:szCs w:val="21"/>
        </w:rPr>
        <w:t>）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6AEBF48F">
      <w:pPr>
        <w:spacing w:line="400" w:lineRule="exact"/>
        <w:ind w:firstLine="420" w:firstLineChars="200"/>
        <w:rPr>
          <w:rFonts w:ascii="宋体" w:hAnsi="宋体" w:eastAsia="宋体" w:cs="宋体"/>
          <w:b/>
          <w:szCs w:val="21"/>
        </w:rPr>
      </w:pPr>
      <w:r>
        <w:rPr>
          <w:rFonts w:hint="eastAsia" w:ascii="宋体" w:hAnsi="宋体" w:eastAsia="宋体" w:cs="宋体"/>
          <w:bCs/>
          <w:szCs w:val="21"/>
        </w:rPr>
        <w:t>（</w:t>
      </w:r>
      <w:r>
        <w:rPr>
          <w:rFonts w:ascii="宋体" w:hAnsi="宋体" w:eastAsia="宋体" w:cs="宋体"/>
          <w:bCs/>
          <w:szCs w:val="21"/>
        </w:rPr>
        <w:t>3</w:t>
      </w:r>
      <w:r>
        <w:rPr>
          <w:rFonts w:hint="eastAsia" w:ascii="宋体" w:hAnsi="宋体" w:eastAsia="宋体" w:cs="宋体"/>
          <w:bCs/>
          <w:szCs w:val="21"/>
        </w:rPr>
        <w:t>）素质目标：增强学生的爱国主义、集体主义精神，培养学生团结、互助、拼搏意识，具备应对困难、挫折的能力。具备正确的体育价值观和健康观，具备较强的身体素质和强健体魄，树立“健康第一”思想。</w:t>
      </w:r>
      <w:r>
        <w:rPr>
          <w:rFonts w:hint="eastAsia" w:ascii="宋体" w:hAnsi="宋体" w:eastAsia="宋体" w:cs="宋体"/>
          <w:bCs/>
          <w:szCs w:val="21"/>
        </w:rPr>
        <w:cr/>
      </w:r>
      <w:r>
        <w:rPr>
          <w:rFonts w:hint="eastAsia" w:ascii="宋体" w:hAnsi="宋体" w:cs="宋体"/>
          <w:bCs/>
          <w:szCs w:val="21"/>
        </w:rPr>
        <w:t xml:space="preserve">    </w:t>
      </w:r>
      <w:r>
        <w:rPr>
          <w:rFonts w:hint="eastAsia" w:ascii="宋体" w:hAnsi="宋体" w:eastAsia="宋体" w:cs="宋体"/>
          <w:b/>
          <w:szCs w:val="21"/>
        </w:rPr>
        <w:t>主要内容：</w:t>
      </w:r>
    </w:p>
    <w:p w14:paraId="1F829D3F">
      <w:pPr>
        <w:spacing w:line="400" w:lineRule="exact"/>
        <w:ind w:firstLine="420" w:firstLineChars="200"/>
        <w:rPr>
          <w:rFonts w:ascii="宋体" w:hAnsi="宋体" w:eastAsia="宋体" w:cs="宋体"/>
          <w:bCs/>
          <w:szCs w:val="21"/>
        </w:rPr>
      </w:pPr>
      <w:bookmarkStart w:id="16" w:name="_Hlk204683974"/>
      <w:r>
        <w:rPr>
          <w:rFonts w:hint="eastAsia" w:ascii="宋体" w:hAnsi="宋体" w:eastAsia="宋体" w:cs="宋体"/>
          <w:bCs/>
          <w:szCs w:val="21"/>
        </w:rPr>
        <w:t>（1）</w:t>
      </w:r>
      <w:bookmarkEnd w:id="16"/>
      <w:r>
        <w:rPr>
          <w:rFonts w:hint="eastAsia" w:ascii="宋体" w:hAnsi="宋体" w:eastAsia="宋体" w:cs="宋体"/>
          <w:bCs/>
          <w:szCs w:val="21"/>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57BB5F12">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3E24129D">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rPr>
        <w:t>（1）</w:t>
      </w:r>
      <w:r>
        <w:rPr>
          <w:rFonts w:hint="eastAsia" w:ascii="宋体" w:hAnsi="宋体" w:eastAsia="宋体" w:cs="宋体"/>
          <w:bCs/>
          <w:szCs w:val="21"/>
        </w:rPr>
        <w:t>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1D878136">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rPr>
        <w:t>（2）</w:t>
      </w:r>
      <w:r>
        <w:rPr>
          <w:rFonts w:hint="eastAsia" w:ascii="宋体" w:hAnsi="宋体" w:eastAsia="宋体" w:cs="宋体"/>
          <w:bCs/>
          <w:szCs w:val="21"/>
        </w:rPr>
        <w:t>教学条件：室内理论课拥有多媒体等辅助课件,实践课在体育馆或室外相应体育运动场地，体育馆内拥有教学所需的灯光设备、运动器材和运动场地，室外体育场地及运动器材能满足体育课堂教学需要。</w:t>
      </w:r>
    </w:p>
    <w:p w14:paraId="053C9531">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rPr>
        <w:t>（3）</w:t>
      </w:r>
      <w:r>
        <w:rPr>
          <w:rFonts w:hint="eastAsia" w:ascii="宋体" w:hAnsi="宋体" w:eastAsia="宋体" w:cs="宋体"/>
          <w:bCs/>
          <w:szCs w:val="21"/>
        </w:rPr>
        <w:t>教学方法：语言法、示范法、完整教学法、分解教学法、预防和纠正错误动作法、游戏练习法、比赛练习法、综合练习法、循环练习法、重复练习法、变换练习法等。</w:t>
      </w:r>
    </w:p>
    <w:p w14:paraId="586EDB03">
      <w:pPr>
        <w:adjustRightInd w:val="0"/>
        <w:snapToGrid w:val="0"/>
        <w:spacing w:line="400" w:lineRule="exact"/>
        <w:ind w:firstLine="420" w:firstLineChars="200"/>
        <w:rPr>
          <w:rFonts w:ascii="Times New Roman" w:hAnsi="Times New Roman" w:cs="宋体"/>
          <w:b/>
          <w:szCs w:val="21"/>
        </w:rPr>
      </w:pPr>
      <w:r>
        <w:rPr>
          <w:rFonts w:hint="eastAsia" w:ascii="宋体" w:hAnsi="宋体" w:eastAsia="宋体" w:cs="宋体"/>
          <w:bCs/>
          <w:szCs w:val="21"/>
        </w:rPr>
        <w:t>（4）考核评价：体育课程考核采取过程性考核与</w:t>
      </w:r>
      <w:bookmarkStart w:id="17" w:name="_Hlk204686324"/>
      <w:r>
        <w:rPr>
          <w:rFonts w:hint="eastAsia" w:ascii="宋体" w:hAnsi="宋体" w:eastAsia="宋体" w:cs="宋体"/>
          <w:bCs/>
          <w:szCs w:val="21"/>
        </w:rPr>
        <w:t>终结性考核</w:t>
      </w:r>
      <w:bookmarkEnd w:id="17"/>
      <w:r>
        <w:rPr>
          <w:rFonts w:hint="eastAsia" w:ascii="宋体" w:hAnsi="宋体" w:eastAsia="宋体" w:cs="宋体"/>
          <w:bCs/>
          <w:szCs w:val="21"/>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79697031">
      <w:pPr>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11.信息技术与人工智能基础</w:t>
      </w:r>
    </w:p>
    <w:p w14:paraId="1699B9B0">
      <w:pPr>
        <w:adjustRightInd w:val="0"/>
        <w:snapToGrid w:val="0"/>
        <w:spacing w:line="400" w:lineRule="exact"/>
        <w:ind w:firstLine="422" w:firstLineChars="200"/>
        <w:rPr>
          <w:rFonts w:ascii="Times New Roman" w:hAnsi="Times New Roman"/>
          <w:szCs w:val="21"/>
        </w:rPr>
      </w:pPr>
      <w:r>
        <w:rPr>
          <w:rFonts w:hint="eastAsia" w:ascii="Times New Roman" w:hAnsi="Times New Roman" w:cs="宋体"/>
          <w:b/>
          <w:szCs w:val="21"/>
        </w:rPr>
        <w:t>课程目标：</w:t>
      </w:r>
      <w:r>
        <w:rPr>
          <w:rFonts w:hint="eastAsia" w:ascii="Times New Roman" w:hAnsi="Times New Roman" w:cs="宋体"/>
          <w:bCs/>
          <w:szCs w:val="21"/>
        </w:rPr>
        <w:t>信息技术与人工智能基础是面向全校各专科专业学生开设的通识必修课程。本课程主要介绍计算机基础知识、Office应用、人工智能基础、关键技术及应用。</w:t>
      </w:r>
      <w:r>
        <w:rPr>
          <w:rFonts w:ascii="Times New Roman" w:hAnsi="Times New Roman"/>
          <w:szCs w:val="21"/>
        </w:rPr>
        <w:t>通过本课程的理论学习，使学生具备如下知识和能力：</w:t>
      </w:r>
    </w:p>
    <w:p w14:paraId="4F585613">
      <w:pPr>
        <w:pStyle w:val="22"/>
        <w:spacing w:line="400" w:lineRule="exact"/>
        <w:ind w:firstLine="420" w:firstLineChars="200"/>
        <w:rPr>
          <w:bCs/>
          <w:lang w:eastAsia="zh-CN"/>
        </w:rPr>
      </w:pPr>
      <w:r>
        <w:rPr>
          <w:rFonts w:hint="eastAsia"/>
          <w:bCs/>
          <w:lang w:eastAsia="zh-CN"/>
        </w:rPr>
        <w:t>（</w:t>
      </w:r>
      <w:r>
        <w:rPr>
          <w:bCs/>
          <w:lang w:eastAsia="zh-CN"/>
        </w:rPr>
        <w:t>1</w:t>
      </w:r>
      <w:r>
        <w:rPr>
          <w:rFonts w:hint="eastAsia"/>
          <w:bCs/>
          <w:lang w:eastAsia="zh-CN"/>
        </w:rPr>
        <w:t>）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45A59122">
      <w:pPr>
        <w:pStyle w:val="22"/>
        <w:spacing w:line="400" w:lineRule="exact"/>
        <w:ind w:firstLine="420" w:firstLineChars="200"/>
        <w:rPr>
          <w:bCs/>
          <w:lang w:eastAsia="zh-CN"/>
        </w:rPr>
      </w:pPr>
      <w:r>
        <w:rPr>
          <w:rFonts w:hint="eastAsia"/>
          <w:bCs/>
          <w:lang w:eastAsia="zh-CN"/>
        </w:rPr>
        <w:t>（</w:t>
      </w:r>
      <w:r>
        <w:rPr>
          <w:bCs/>
          <w:lang w:eastAsia="zh-CN"/>
        </w:rPr>
        <w:t>2</w:t>
      </w:r>
      <w:r>
        <w:rPr>
          <w:rFonts w:hint="eastAsia"/>
          <w:bCs/>
          <w:lang w:eastAsia="zh-CN"/>
        </w:rPr>
        <w:t>）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20E7540A">
      <w:pPr>
        <w:pStyle w:val="22"/>
        <w:spacing w:line="400" w:lineRule="exact"/>
        <w:ind w:firstLine="420" w:firstLineChars="200"/>
        <w:rPr>
          <w:bCs/>
          <w:lang w:eastAsia="zh-CN"/>
        </w:rPr>
      </w:pPr>
      <w:r>
        <w:rPr>
          <w:rFonts w:hint="eastAsia"/>
          <w:bCs/>
          <w:lang w:eastAsia="zh-CN"/>
        </w:rPr>
        <w:t>（</w:t>
      </w:r>
      <w:r>
        <w:rPr>
          <w:bCs/>
          <w:lang w:eastAsia="zh-CN"/>
        </w:rPr>
        <w:t>3</w:t>
      </w:r>
      <w:r>
        <w:rPr>
          <w:rFonts w:hint="eastAsia"/>
          <w:bCs/>
          <w:lang w:eastAsia="zh-CN"/>
        </w:rPr>
        <w:t>）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266BF051">
      <w:pPr>
        <w:pStyle w:val="22"/>
        <w:spacing w:line="400" w:lineRule="exact"/>
        <w:ind w:firstLine="422" w:firstLineChars="200"/>
        <w:rPr>
          <w:rFonts w:ascii="Times New Roman" w:hAnsi="Times New Roman"/>
          <w:b/>
          <w:lang w:eastAsia="zh-CN"/>
        </w:rPr>
      </w:pPr>
      <w:r>
        <w:rPr>
          <w:rFonts w:hint="eastAsia" w:ascii="Times New Roman" w:hAnsi="Times New Roman"/>
          <w:b/>
          <w:lang w:eastAsia="zh-CN"/>
        </w:rPr>
        <w:t>主要内容：</w:t>
      </w:r>
    </w:p>
    <w:p w14:paraId="21AA6E99">
      <w:pPr>
        <w:tabs>
          <w:tab w:val="left" w:pos="4859"/>
        </w:tabs>
        <w:adjustRightInd w:val="0"/>
        <w:snapToGrid w:val="0"/>
        <w:spacing w:line="400" w:lineRule="exact"/>
        <w:ind w:firstLine="420" w:firstLineChars="200"/>
        <w:rPr>
          <w:rFonts w:ascii="Times New Roman" w:hAnsi="Times New Roman"/>
          <w:szCs w:val="22"/>
        </w:rPr>
      </w:pPr>
      <w:r>
        <w:rPr>
          <w:rFonts w:hint="eastAsia" w:ascii="Times New Roman" w:hAnsi="Times New Roman"/>
          <w:szCs w:val="21"/>
        </w:rPr>
        <w:t>（1）了解信息技术的发展历史、掌握数制转换等内容；（2）</w:t>
      </w:r>
      <w:r>
        <w:rPr>
          <w:rFonts w:hint="eastAsia" w:ascii="Times New Roman" w:hAnsi="Times New Roman"/>
        </w:rPr>
        <w:t>Office应用：使学生熟练掌握word、Excel、PPT使用方法和实际应用；（3）</w:t>
      </w:r>
      <w:r>
        <w:rPr>
          <w:rFonts w:hint="eastAsia" w:ascii="Times New Roman" w:hAnsi="Times New Roman"/>
          <w:szCs w:val="21"/>
        </w:rPr>
        <w:t>了解人工智能的基本概念、发展历史，理解人工智能伦理问题；了解人工智能知识图谱、自然语言处理、智能语音、计算机视觉等关键技术；了解大模型的基本概念、分类和应用案例；了解新一代人工智能的生态和应用领域；</w:t>
      </w:r>
      <w:r>
        <w:rPr>
          <w:rFonts w:hint="eastAsia" w:ascii="Times New Roman" w:hAnsi="Times New Roman"/>
        </w:rPr>
        <w:t>（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w:t>
      </w:r>
      <w:r>
        <w:rPr>
          <w:rFonts w:hint="eastAsia" w:ascii="Times New Roman" w:hAnsi="Times New Roman"/>
          <w:szCs w:val="22"/>
        </w:rPr>
        <w:t>大模型及其应用：使学生了解大模型的定义和分类；理解大模型的工作原理；理解重要的大模型架构；掌握大模型的实践应用。了解提示词工程，会使用提示词完成的设计和优化。</w:t>
      </w:r>
    </w:p>
    <w:p w14:paraId="79132140">
      <w:pPr>
        <w:spacing w:line="400" w:lineRule="exact"/>
        <w:ind w:firstLine="422" w:firstLineChars="200"/>
        <w:rPr>
          <w:rFonts w:ascii="Times New Roman" w:hAnsi="Times New Roman"/>
          <w:b/>
          <w:bCs/>
          <w:szCs w:val="22"/>
        </w:rPr>
      </w:pPr>
      <w:r>
        <w:rPr>
          <w:rFonts w:hint="eastAsia" w:ascii="Times New Roman" w:hAnsi="Times New Roman"/>
          <w:b/>
          <w:bCs/>
          <w:szCs w:val="22"/>
        </w:rPr>
        <w:t>教学要求：</w:t>
      </w:r>
    </w:p>
    <w:p w14:paraId="3C718D58">
      <w:pPr>
        <w:tabs>
          <w:tab w:val="left" w:pos="4859"/>
        </w:tabs>
        <w:adjustRightInd w:val="0"/>
        <w:snapToGrid w:val="0"/>
        <w:spacing w:line="4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（1）教师要求：熟悉人工智能发展史，熟练掌握常用的人工智能体，具备较强的office办公软件操作水平。</w:t>
      </w:r>
    </w:p>
    <w:p w14:paraId="0FEEEF3C">
      <w:pPr>
        <w:tabs>
          <w:tab w:val="left" w:pos="4859"/>
        </w:tabs>
        <w:adjustRightInd w:val="0"/>
        <w:snapToGrid w:val="0"/>
        <w:spacing w:line="4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（2）教学条件：多媒体辅助课件,实践课在机房完成（包括理论教学及实践所需的所有需求，包含软硬件）</w:t>
      </w:r>
    </w:p>
    <w:p w14:paraId="060CFECD">
      <w:pPr>
        <w:tabs>
          <w:tab w:val="left" w:pos="4859"/>
        </w:tabs>
        <w:adjustRightInd w:val="0"/>
        <w:snapToGrid w:val="0"/>
        <w:spacing w:line="40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50D28881">
      <w:pPr>
        <w:adjustRightInd w:val="0"/>
        <w:snapToGrid w:val="0"/>
        <w:spacing w:line="400" w:lineRule="exact"/>
        <w:ind w:firstLine="420" w:firstLineChars="200"/>
        <w:rPr>
          <w:rFonts w:ascii="宋体" w:hAnsi="宋体" w:eastAsia="宋体" w:cs="宋体"/>
          <w:bCs/>
          <w:sz w:val="20"/>
          <w:szCs w:val="20"/>
        </w:rPr>
      </w:pPr>
      <w:r>
        <w:rPr>
          <w:rFonts w:hint="eastAsia" w:ascii="宋体" w:hAnsi="宋体" w:cs="宋体"/>
          <w:bCs/>
          <w:szCs w:val="21"/>
        </w:rPr>
        <w:t>（4）考核评价：平时成绩40%+期末考核60%。其中平时成绩包括平时考勤与课堂参与（20%）、上机操作作业（Office为主）（40%）、AI工具应用实践报告/作品（40%）。</w:t>
      </w:r>
    </w:p>
    <w:p w14:paraId="0C58CD74">
      <w:pPr>
        <w:adjustRightInd w:val="0"/>
        <w:snapToGrid w:val="0"/>
        <w:spacing w:line="400" w:lineRule="exact"/>
        <w:ind w:firstLine="422" w:firstLineChars="200"/>
        <w:rPr>
          <w:rFonts w:ascii="Times New Roman" w:hAnsi="Times New Roman" w:cs="宋体"/>
          <w:b/>
          <w:szCs w:val="21"/>
        </w:rPr>
      </w:pPr>
      <w:r>
        <w:rPr>
          <w:rFonts w:hint="eastAsia" w:ascii="Times New Roman" w:hAnsi="Times New Roman" w:cs="宋体"/>
          <w:b/>
          <w:szCs w:val="21"/>
        </w:rPr>
        <w:t>12.大学生职业生涯规划</w:t>
      </w:r>
    </w:p>
    <w:p w14:paraId="408C1D46">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课程目标：</w:t>
      </w:r>
      <w:bookmarkStart w:id="18" w:name="_Hlk68463921"/>
    </w:p>
    <w:bookmarkEnd w:id="18"/>
    <w:p w14:paraId="568305D2">
      <w:pPr>
        <w:pStyle w:val="7"/>
        <w:spacing w:line="400" w:lineRule="exact"/>
        <w:ind w:firstLine="404" w:firstLineChars="200"/>
        <w:rPr>
          <w:spacing w:val="-4"/>
          <w:sz w:val="21"/>
          <w:szCs w:val="21"/>
          <w:lang w:eastAsia="zh-CN"/>
        </w:rPr>
      </w:pPr>
      <w:r>
        <w:rPr>
          <w:rFonts w:hint="eastAsia"/>
          <w:spacing w:val="-4"/>
          <w:sz w:val="21"/>
          <w:szCs w:val="21"/>
          <w:lang w:eastAsia="zh-CN"/>
        </w:rPr>
        <w:t xml:space="preserve">（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 </w:t>
      </w:r>
    </w:p>
    <w:p w14:paraId="413B3CB2">
      <w:pPr>
        <w:pStyle w:val="7"/>
        <w:spacing w:line="400" w:lineRule="exact"/>
        <w:ind w:firstLine="404" w:firstLineChars="200"/>
        <w:rPr>
          <w:spacing w:val="-4"/>
          <w:sz w:val="21"/>
          <w:szCs w:val="21"/>
          <w:lang w:eastAsia="zh-CN"/>
        </w:rPr>
      </w:pPr>
      <w:r>
        <w:rPr>
          <w:rFonts w:hint="eastAsia"/>
          <w:spacing w:val="-4"/>
          <w:sz w:val="21"/>
          <w:szCs w:val="21"/>
          <w:lang w:eastAsia="zh-CN"/>
        </w:rPr>
        <w:t>（2）能力目标：掌握基于交通等行业特质的自我探索技能、信息搜索与管理技能、生涯决策技能等，掌握团队协作中的沟通技能，提升解决复杂问题的能力，具备交通类院校毕业生特有的职业竞争力。</w:t>
      </w:r>
    </w:p>
    <w:p w14:paraId="5C8310E7">
      <w:pPr>
        <w:pStyle w:val="7"/>
        <w:spacing w:line="400" w:lineRule="exact"/>
        <w:ind w:firstLine="404" w:firstLineChars="200"/>
        <w:rPr>
          <w:spacing w:val="-4"/>
          <w:sz w:val="21"/>
          <w:szCs w:val="21"/>
          <w:lang w:eastAsia="zh-CN"/>
        </w:rPr>
      </w:pPr>
      <w:r>
        <w:rPr>
          <w:rFonts w:hint="eastAsia"/>
          <w:spacing w:val="-4"/>
          <w:sz w:val="21"/>
          <w:szCs w:val="21"/>
          <w:lang w:eastAsia="zh-CN"/>
        </w:rPr>
        <w:t>（3）素质目标：树立职业生涯发展的自主意识，树立积极正确的人生观、价值观、世界观和就业观，把个人发展与国家需要、社会发展相结合，确立职业概念和意识，为个人生涯发展和社会发展积极努力。</w:t>
      </w:r>
    </w:p>
    <w:p w14:paraId="13230579">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主要内容：</w:t>
      </w:r>
    </w:p>
    <w:p w14:paraId="2DFD13FD">
      <w:pPr>
        <w:spacing w:line="400" w:lineRule="exact"/>
        <w:ind w:firstLine="404" w:firstLineChars="200"/>
        <w:rPr>
          <w:rFonts w:ascii="宋体" w:hAnsi="宋体" w:eastAsia="宋体" w:cs="宋体"/>
          <w:spacing w:val="-4"/>
        </w:rPr>
      </w:pPr>
      <w:r>
        <w:rPr>
          <w:rFonts w:hint="eastAsia" w:ascii="宋体" w:hAnsi="宋体" w:eastAsia="宋体" w:cs="宋体"/>
          <w:spacing w:val="-4"/>
        </w:rPr>
        <w:t>（1）认识职业生涯规划；（2）自我认知；（3）职业认知；（4）生涯决策；（5）提升职业素养。</w:t>
      </w:r>
    </w:p>
    <w:p w14:paraId="178BC1A8">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教学要求：</w:t>
      </w:r>
    </w:p>
    <w:p w14:paraId="5E12EE1D">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（1）教师要求：</w:t>
      </w:r>
      <w:r>
        <w:rPr>
          <w:rFonts w:ascii="宋体" w:hAnsi="宋体" w:cs="宋体"/>
          <w:bCs/>
          <w:szCs w:val="21"/>
        </w:rPr>
        <w:t>熟悉行业职业发展特征及人才需求趋势，具备职业生涯规划理论</w:t>
      </w:r>
      <w:r>
        <w:rPr>
          <w:rFonts w:hint="eastAsia" w:ascii="宋体" w:hAnsi="宋体" w:cs="宋体"/>
          <w:bCs/>
          <w:szCs w:val="21"/>
        </w:rPr>
        <w:t>知识</w:t>
      </w:r>
      <w:r>
        <w:rPr>
          <w:rFonts w:ascii="宋体" w:hAnsi="宋体" w:cs="宋体"/>
          <w:bCs/>
          <w:szCs w:val="21"/>
        </w:rPr>
        <w:t>和交通</w:t>
      </w:r>
      <w:r>
        <w:rPr>
          <w:rFonts w:hint="eastAsia" w:ascii="宋体" w:hAnsi="宋体" w:cs="宋体"/>
          <w:bCs/>
          <w:szCs w:val="21"/>
        </w:rPr>
        <w:t>行业</w:t>
      </w:r>
      <w:r>
        <w:rPr>
          <w:rFonts w:ascii="宋体" w:hAnsi="宋体" w:cs="宋体"/>
          <w:bCs/>
          <w:szCs w:val="21"/>
        </w:rPr>
        <w:t>职业咨询能力；掌握职业测评工具使用技能，能结合</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等专业特点开展个性化</w:t>
      </w:r>
      <w:r>
        <w:rPr>
          <w:rFonts w:hint="eastAsia" w:ascii="宋体" w:hAnsi="宋体" w:cs="宋体"/>
          <w:bCs/>
          <w:szCs w:val="21"/>
        </w:rPr>
        <w:t>生涯规划</w:t>
      </w:r>
      <w:r>
        <w:rPr>
          <w:rFonts w:ascii="宋体" w:hAnsi="宋体" w:cs="宋体"/>
          <w:bCs/>
          <w:szCs w:val="21"/>
        </w:rPr>
        <w:t>指导。</w:t>
      </w:r>
    </w:p>
    <w:p w14:paraId="13153535">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（2）教学条件：多媒体辅助课件, 线上教学平台，职业生涯与发展规划工具包等教具，实践课在多媒体教室、生涯咨询室、创业园区、校内外实践教学基地等多</w:t>
      </w:r>
      <w:r>
        <w:rPr>
          <w:rFonts w:ascii="宋体" w:hAnsi="宋体" w:cs="宋体"/>
          <w:bCs/>
          <w:szCs w:val="21"/>
        </w:rPr>
        <w:t>平台</w:t>
      </w:r>
      <w:r>
        <w:rPr>
          <w:rFonts w:hint="eastAsia" w:ascii="宋体" w:hAnsi="宋体" w:cs="宋体"/>
          <w:bCs/>
          <w:szCs w:val="21"/>
        </w:rPr>
        <w:t>进行，利用社会资源、外聘专家、成功校友、职场人物开展专题讲座、座谈等。</w:t>
      </w:r>
    </w:p>
    <w:p w14:paraId="53A41B57">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（3）教学方法：本课程采用理论与实践相结合、讲授与训练相结合的方式进行。教学可采用课堂讲授、</w:t>
      </w:r>
      <w:r>
        <w:rPr>
          <w:spacing w:val="-4"/>
        </w:rPr>
        <w:t>交通</w:t>
      </w:r>
      <w:r>
        <w:rPr>
          <w:rFonts w:hint="eastAsia"/>
          <w:spacing w:val="-4"/>
        </w:rPr>
        <w:t>领域</w:t>
      </w:r>
      <w:r>
        <w:rPr>
          <w:rFonts w:hint="eastAsia" w:ascii="宋体" w:hAnsi="宋体" w:cs="宋体"/>
          <w:bCs/>
          <w:szCs w:val="21"/>
        </w:rPr>
        <w:t>典型案例分析、</w:t>
      </w:r>
      <w:r>
        <w:rPr>
          <w:spacing w:val="-4"/>
        </w:rPr>
        <w:t>轨道交通</w:t>
      </w:r>
      <w:r>
        <w:rPr>
          <w:rFonts w:hint="eastAsia"/>
          <w:spacing w:val="-4"/>
        </w:rPr>
        <w:t>运营管理等</w:t>
      </w:r>
      <w:r>
        <w:rPr>
          <w:rFonts w:hint="eastAsia" w:ascii="宋体" w:hAnsi="宋体" w:cs="宋体"/>
          <w:bCs/>
          <w:szCs w:val="21"/>
        </w:rPr>
        <w:t>情景模拟训练、小组讨论、社会调查、实习见习等方法。</w:t>
      </w:r>
    </w:p>
    <w:p w14:paraId="43B4AE1A">
      <w:pPr>
        <w:adjustRightInd w:val="0"/>
        <w:snapToGrid w:val="0"/>
        <w:spacing w:line="400" w:lineRule="exact"/>
        <w:ind w:firstLine="420" w:firstLineChars="200"/>
        <w:rPr>
          <w:rFonts w:ascii="Times New Roman" w:hAnsi="Times New Roman" w:cs="宋体"/>
          <w:b/>
          <w:szCs w:val="21"/>
        </w:rPr>
      </w:pPr>
      <w:r>
        <w:rPr>
          <w:rFonts w:hint="eastAsia" w:ascii="宋体" w:hAnsi="宋体" w:cs="宋体"/>
          <w:bCs/>
          <w:szCs w:val="21"/>
        </w:rPr>
        <w:t>（4）考核评价：过程考核占40%+综合考核占60%。</w:t>
      </w:r>
    </w:p>
    <w:p w14:paraId="2CEC462D">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eastAsia="宋体" w:cs="宋体"/>
          <w:b/>
          <w:szCs w:val="21"/>
        </w:rPr>
        <w:t>13.创业基础</w:t>
      </w:r>
    </w:p>
    <w:p w14:paraId="29404725">
      <w:pPr>
        <w:pStyle w:val="22"/>
        <w:spacing w:line="400" w:lineRule="exact"/>
        <w:ind w:firstLine="422" w:firstLineChars="200"/>
        <w:rPr>
          <w:b/>
          <w:lang w:eastAsia="zh-CN"/>
        </w:rPr>
      </w:pPr>
      <w:r>
        <w:rPr>
          <w:rFonts w:hint="eastAsia"/>
          <w:b/>
          <w:lang w:eastAsia="zh-CN"/>
        </w:rPr>
        <w:t>课程目标：</w:t>
      </w:r>
    </w:p>
    <w:p w14:paraId="318FBA7A">
      <w:pPr>
        <w:pStyle w:val="22"/>
        <w:spacing w:line="400" w:lineRule="exact"/>
        <w:ind w:firstLine="420" w:firstLineChars="200"/>
        <w:rPr>
          <w:bCs/>
          <w:lang w:eastAsia="zh-CN"/>
        </w:rPr>
      </w:pPr>
      <w:r>
        <w:rPr>
          <w:rFonts w:hint="eastAsia"/>
          <w:bCs/>
          <w:lang w:eastAsia="zh-CN"/>
        </w:rPr>
        <w:t>（</w:t>
      </w:r>
      <w:r>
        <w:rPr>
          <w:bCs/>
          <w:lang w:eastAsia="zh-CN"/>
        </w:rPr>
        <w:t>1</w:t>
      </w:r>
      <w:r>
        <w:rPr>
          <w:rFonts w:hint="eastAsia"/>
          <w:bCs/>
          <w:lang w:eastAsia="zh-CN"/>
        </w:rPr>
        <w:t>）知识目标：了解创新创业的基本概念、流程和方法，掌握机会识别、商业模式设计、团队管理、融资策略等创新创业核心知识。</w:t>
      </w:r>
    </w:p>
    <w:p w14:paraId="020FE593">
      <w:pPr>
        <w:spacing w:line="400" w:lineRule="exact"/>
        <w:ind w:firstLine="420" w:firstLineChars="200"/>
        <w:rPr>
          <w:rFonts w:ascii="宋体" w:hAnsi="宋体"/>
        </w:rPr>
      </w:pPr>
      <w:r>
        <w:rPr>
          <w:rFonts w:hint="eastAsia" w:ascii="宋体" w:hAnsi="宋体"/>
          <w:bCs/>
        </w:rPr>
        <w:t>（2）</w:t>
      </w:r>
      <w:r>
        <w:rPr>
          <w:rFonts w:hint="eastAsia"/>
          <w:bCs/>
        </w:rPr>
        <w:t>能力目标：掌握创新方法、机会识别、资源整合和风险应对能力，制定创业计划并进行可行性分析，</w:t>
      </w:r>
      <w:r>
        <w:rPr>
          <w:rFonts w:hint="eastAsia" w:ascii="宋体" w:hAnsi="宋体"/>
        </w:rPr>
        <w:t>熟悉新企业的开办流程与管理，提高创办和管理企业的综合素质与能力。</w:t>
      </w:r>
    </w:p>
    <w:p w14:paraId="792B415E">
      <w:pPr>
        <w:pStyle w:val="22"/>
        <w:spacing w:line="400" w:lineRule="exact"/>
        <w:ind w:firstLine="420" w:firstLineChars="200"/>
        <w:rPr>
          <w:bCs/>
          <w:lang w:eastAsia="zh-CN"/>
        </w:rPr>
      </w:pPr>
      <w:r>
        <w:rPr>
          <w:rFonts w:hint="eastAsia"/>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3F8AC83A">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主要内容：</w:t>
      </w:r>
    </w:p>
    <w:p w14:paraId="3C9F795E">
      <w:pPr>
        <w:pStyle w:val="22"/>
        <w:spacing w:line="400" w:lineRule="exact"/>
        <w:ind w:firstLine="420" w:firstLineChars="200"/>
        <w:rPr>
          <w:bCs/>
          <w:lang w:eastAsia="zh-CN"/>
        </w:rPr>
      </w:pPr>
      <w:r>
        <w:rPr>
          <w:rFonts w:hint="eastAsia"/>
          <w:bCs/>
          <w:lang w:eastAsia="zh-CN"/>
        </w:rPr>
        <w:t>（1）创新与创业精神；（2）创新思维与机会识别；（3）风险管理；（4）团队组建与领导力；（5）商业模式设计；（6）创业计划与路演技巧；（7）新企业的开办。</w:t>
      </w:r>
    </w:p>
    <w:p w14:paraId="545ACCF3">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教学要求：</w:t>
      </w:r>
    </w:p>
    <w:p w14:paraId="629201B9">
      <w:pPr>
        <w:numPr>
          <w:ilvl w:val="0"/>
          <w:numId w:val="4"/>
        </w:num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4DD8B5A1">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（2）教学条件：多媒体辅助课件，线上教学平台等，实践课在路演教室、创业园区、校内外实践教学基地等多</w:t>
      </w:r>
      <w:r>
        <w:rPr>
          <w:rFonts w:ascii="宋体" w:hAnsi="宋体" w:cs="宋体"/>
          <w:bCs/>
          <w:szCs w:val="21"/>
        </w:rPr>
        <w:t>平台</w:t>
      </w:r>
      <w:r>
        <w:rPr>
          <w:rFonts w:hint="eastAsia" w:ascii="宋体" w:hAnsi="宋体" w:cs="宋体"/>
          <w:bCs/>
          <w:szCs w:val="21"/>
        </w:rPr>
        <w:t>进行，利用社会资源、创业导师、成功校友、职场人物开展创业讲座、座谈等。</w:t>
      </w:r>
    </w:p>
    <w:p w14:paraId="77B5ADBE">
      <w:pPr>
        <w:adjustRightInd w:val="0"/>
        <w:snapToGrid w:val="0"/>
        <w:spacing w:line="400" w:lineRule="exact"/>
        <w:ind w:firstLine="420" w:firstLineChars="200"/>
        <w:rPr>
          <w:rFonts w:ascii="宋体" w:hAnsi="宋体" w:cs="宋体"/>
          <w:bCs/>
          <w:szCs w:val="21"/>
        </w:rPr>
      </w:pPr>
      <w:r>
        <w:rPr>
          <w:rFonts w:hint="eastAsia" w:ascii="宋体" w:hAnsi="宋体" w:cs="宋体"/>
          <w:bCs/>
          <w:szCs w:val="21"/>
        </w:rPr>
        <w:t>（3）教学方法：本课程采用理论与实践相结合、讲授与训练相结合的方式进行。采用现场教学法、分组讨论法、案例教学法、情景模拟法和任务驱动法等。</w:t>
      </w:r>
    </w:p>
    <w:p w14:paraId="60164A63">
      <w:pPr>
        <w:adjustRightInd w:val="0"/>
        <w:snapToGrid w:val="0"/>
        <w:spacing w:line="400" w:lineRule="exact"/>
        <w:ind w:firstLine="420" w:firstLineChars="200"/>
        <w:rPr>
          <w:rFonts w:ascii="Times New Roman" w:hAnsi="Times New Roman" w:eastAsia="宋体" w:cs="宋体"/>
          <w:b/>
          <w:szCs w:val="21"/>
        </w:rPr>
      </w:pPr>
      <w:r>
        <w:rPr>
          <w:rFonts w:hint="eastAsia" w:ascii="宋体" w:hAnsi="宋体" w:cs="宋体"/>
          <w:bCs/>
          <w:szCs w:val="21"/>
        </w:rPr>
        <w:t>（4）考核评价：过程考核占40%+综合考核占60%。</w:t>
      </w:r>
    </w:p>
    <w:p w14:paraId="0B1DA08F">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eastAsia="宋体" w:cs="宋体"/>
          <w:b/>
          <w:szCs w:val="21"/>
        </w:rPr>
        <w:t>14.就业指导</w:t>
      </w:r>
    </w:p>
    <w:p w14:paraId="7495CAB9">
      <w:pPr>
        <w:adjustRightInd w:val="0"/>
        <w:snapToGrid w:val="0"/>
        <w:spacing w:line="400" w:lineRule="exact"/>
        <w:ind w:firstLine="422" w:firstLineChars="200"/>
        <w:rPr>
          <w:rFonts w:ascii="宋体" w:hAnsi="宋体" w:cs="宋体"/>
          <w:b/>
          <w:bCs/>
          <w:szCs w:val="21"/>
        </w:rPr>
      </w:pPr>
      <w:r>
        <w:rPr>
          <w:rFonts w:hint="eastAsia" w:ascii="宋体" w:hAnsi="宋体" w:cs="宋体"/>
          <w:b/>
          <w:bCs/>
          <w:szCs w:val="21"/>
        </w:rPr>
        <w:t>课程目标：</w:t>
      </w:r>
    </w:p>
    <w:p w14:paraId="3998C0BC">
      <w:pPr>
        <w:adjustRightInd w:val="0"/>
        <w:snapToGrid w:val="0"/>
        <w:spacing w:line="400" w:lineRule="exact"/>
        <w:ind w:firstLine="420" w:firstLineChars="200"/>
        <w:rPr>
          <w:rFonts w:ascii="宋体" w:hAnsi="宋体" w:cs="宋体"/>
          <w:szCs w:val="21"/>
        </w:rPr>
      </w:pPr>
      <w:r>
        <w:rPr>
          <w:rFonts w:hint="eastAsia" w:ascii="宋体" w:hAnsi="宋体" w:cs="宋体"/>
          <w:bCs/>
          <w:szCs w:val="21"/>
        </w:rPr>
        <w:t>（1）</w:t>
      </w:r>
      <w:r>
        <w:rPr>
          <w:rFonts w:hint="eastAsia" w:ascii="宋体" w:hAnsi="宋体" w:cs="宋体"/>
          <w:szCs w:val="21"/>
        </w:rPr>
        <w:t>知识目标：了解国家稳就业政策核心内容，理解产业结构升级对人才需求的变化趋势，掌握就业材料的收集与整理、面试技巧等。</w:t>
      </w:r>
    </w:p>
    <w:p w14:paraId="7ADEC472">
      <w:pPr>
        <w:adjustRightInd w:val="0"/>
        <w:snapToGrid w:val="0"/>
        <w:spacing w:line="400" w:lineRule="exact"/>
        <w:ind w:firstLine="420" w:firstLineChars="200"/>
        <w:rPr>
          <w:rFonts w:ascii="宋体" w:hAnsi="宋体" w:cs="宋体"/>
          <w:szCs w:val="21"/>
        </w:rPr>
      </w:pPr>
      <w:r>
        <w:rPr>
          <w:rFonts w:hint="eastAsia" w:ascii="宋体" w:hAnsi="宋体" w:cs="宋体"/>
          <w:szCs w:val="21"/>
        </w:rPr>
        <w:t>（2）能力目标：具备职业规划、简历制作、面试技巧、职场沟通等求职技能；强化AI工具应用（如大模型辅助简历优化）、数据分析等数字化就业能力。</w:t>
      </w:r>
    </w:p>
    <w:p w14:paraId="5BBC10C5">
      <w:pPr>
        <w:adjustRightInd w:val="0"/>
        <w:snapToGrid w:val="0"/>
        <w:spacing w:line="400" w:lineRule="exact"/>
        <w:ind w:firstLine="420" w:firstLineChars="200"/>
        <w:rPr>
          <w:rFonts w:ascii="宋体" w:hAnsi="宋体" w:cs="宋体"/>
          <w:szCs w:val="21"/>
        </w:rPr>
      </w:pPr>
      <w:r>
        <w:rPr>
          <w:rFonts w:hint="eastAsia" w:ascii="宋体" w:hAnsi="宋体" w:cs="宋体"/>
          <w:szCs w:val="21"/>
        </w:rPr>
        <w:t>（3）素养目标：厚植家国情怀，主动将自身的就业目标同国家战略及区域经济发展相结合，树立理性的就业观，增强职业责任感，培养适应社会变革的终身学习能力与职业韧性。</w:t>
      </w:r>
    </w:p>
    <w:p w14:paraId="1EF8DE1C">
      <w:pPr>
        <w:adjustRightInd w:val="0"/>
        <w:snapToGrid w:val="0"/>
        <w:spacing w:line="400" w:lineRule="exact"/>
        <w:ind w:firstLine="422" w:firstLineChars="200"/>
        <w:rPr>
          <w:rFonts w:ascii="宋体" w:hAnsi="宋体" w:cs="宋体"/>
          <w:b/>
          <w:bCs/>
          <w:szCs w:val="21"/>
        </w:rPr>
      </w:pPr>
      <w:r>
        <w:rPr>
          <w:rFonts w:hint="eastAsia" w:ascii="宋体" w:hAnsi="宋体" w:cs="宋体"/>
          <w:b/>
          <w:bCs/>
          <w:szCs w:val="21"/>
        </w:rPr>
        <w:t>主要内容：</w:t>
      </w:r>
    </w:p>
    <w:p w14:paraId="04950A54">
      <w:pPr>
        <w:adjustRightInd w:val="0"/>
        <w:snapToGrid w:val="0"/>
        <w:spacing w:line="400" w:lineRule="exact"/>
        <w:ind w:firstLine="420" w:firstLineChars="200"/>
        <w:rPr>
          <w:rFonts w:ascii="宋体" w:hAnsi="宋体" w:cs="宋体"/>
          <w:szCs w:val="21"/>
        </w:rPr>
      </w:pPr>
      <w:r>
        <w:rPr>
          <w:rFonts w:hint="eastAsia" w:ascii="宋体" w:hAnsi="宋体" w:cs="宋体"/>
          <w:szCs w:val="21"/>
        </w:rPr>
        <w:t>（1）求职目标确定与就业能力提升；（2）就业信息收集与调整；（3）求职技巧；（4）就业心理调适；（5）就业权益保护；（6）职业适应与发展。</w:t>
      </w:r>
    </w:p>
    <w:p w14:paraId="630C7FDE">
      <w:pPr>
        <w:spacing w:line="400" w:lineRule="exact"/>
        <w:ind w:firstLine="422" w:firstLineChars="200"/>
        <w:rPr>
          <w:rFonts w:ascii="宋体" w:hAnsi="宋体" w:cs="宋体"/>
          <w:b/>
          <w:szCs w:val="21"/>
        </w:rPr>
      </w:pPr>
      <w:r>
        <w:rPr>
          <w:rFonts w:hint="eastAsia" w:ascii="宋体" w:hAnsi="宋体" w:cs="宋体"/>
          <w:b/>
          <w:szCs w:val="21"/>
        </w:rPr>
        <w:t>教学要求：</w:t>
      </w:r>
    </w:p>
    <w:p w14:paraId="17918303">
      <w:pPr>
        <w:adjustRightInd w:val="0"/>
        <w:snapToGrid w:val="0"/>
        <w:spacing w:line="400" w:lineRule="exact"/>
        <w:ind w:firstLine="420" w:firstLineChars="200"/>
        <w:rPr>
          <w:rFonts w:ascii="宋体" w:hAnsi="宋体" w:cs="宋体"/>
          <w:szCs w:val="21"/>
        </w:rPr>
      </w:pPr>
      <w:r>
        <w:rPr>
          <w:rFonts w:hint="eastAsia" w:ascii="宋体" w:hAnsi="宋体" w:cs="宋体"/>
          <w:szCs w:val="21"/>
        </w:rPr>
        <w:t>（1）教师要求：熟悉</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w:t>
      </w:r>
      <w:r>
        <w:rPr>
          <w:rFonts w:hint="eastAsia" w:ascii="宋体" w:hAnsi="宋体" w:cs="宋体"/>
          <w:szCs w:val="21"/>
        </w:rPr>
        <w:t>及未来发展方向、就业政策、求职技巧、工具使用等。</w:t>
      </w:r>
    </w:p>
    <w:p w14:paraId="7E1BBECD">
      <w:pPr>
        <w:adjustRightInd w:val="0"/>
        <w:snapToGrid w:val="0"/>
        <w:spacing w:line="400" w:lineRule="exact"/>
        <w:ind w:firstLine="420" w:firstLineChars="200"/>
        <w:rPr>
          <w:rFonts w:ascii="宋体" w:hAnsi="宋体" w:cs="宋体"/>
          <w:szCs w:val="21"/>
        </w:rPr>
      </w:pPr>
      <w:r>
        <w:rPr>
          <w:rFonts w:hint="eastAsia" w:ascii="宋体" w:hAnsi="宋体" w:cs="宋体"/>
          <w:szCs w:val="21"/>
        </w:rPr>
        <w:t>（2）教学条件：</w:t>
      </w:r>
      <w:r>
        <w:rPr>
          <w:rFonts w:hint="eastAsia" w:ascii="宋体" w:hAnsi="宋体" w:cs="宋体"/>
          <w:bCs/>
          <w:szCs w:val="21"/>
        </w:rPr>
        <w:t>多媒体辅助课件, 线上教学平台等，实践课在云招聘室、网络视频面试室、信息查询室、职业发展与就业指导室、校内外实践教学基地等多</w:t>
      </w:r>
      <w:r>
        <w:rPr>
          <w:rFonts w:ascii="宋体" w:hAnsi="宋体" w:cs="宋体"/>
          <w:bCs/>
          <w:szCs w:val="21"/>
        </w:rPr>
        <w:t>平台</w:t>
      </w:r>
      <w:r>
        <w:rPr>
          <w:rFonts w:hint="eastAsia" w:ascii="宋体" w:hAnsi="宋体" w:cs="宋体"/>
          <w:bCs/>
          <w:szCs w:val="21"/>
        </w:rPr>
        <w:t>进行。</w:t>
      </w:r>
    </w:p>
    <w:p w14:paraId="03CB1A05">
      <w:pPr>
        <w:adjustRightInd w:val="0"/>
        <w:snapToGrid w:val="0"/>
        <w:spacing w:line="400" w:lineRule="exact"/>
        <w:ind w:firstLine="420" w:firstLineChars="200"/>
        <w:rPr>
          <w:rFonts w:ascii="宋体" w:hAnsi="宋体" w:cs="宋体"/>
          <w:szCs w:val="21"/>
        </w:rPr>
      </w:pPr>
      <w:r>
        <w:rPr>
          <w:rFonts w:hint="eastAsia" w:ascii="宋体" w:hAnsi="宋体" w:cs="宋体"/>
          <w:szCs w:val="21"/>
        </w:rPr>
        <w:t>（3）教学方法：</w:t>
      </w:r>
      <w:r>
        <w:rPr>
          <w:rFonts w:hint="eastAsia" w:ascii="宋体" w:hAnsi="宋体" w:cs="宋体"/>
          <w:bCs/>
          <w:szCs w:val="21"/>
        </w:rPr>
        <w:t>本课程采用理论与实践相结合、讲授与训练相结合的方式进行。</w:t>
      </w:r>
      <w:r>
        <w:rPr>
          <w:rFonts w:hint="eastAsia" w:ascii="宋体" w:hAnsi="宋体" w:cs="宋体"/>
          <w:szCs w:val="21"/>
        </w:rPr>
        <w:t>采用讲授法、案例分析法、小组讨论、翻转课堂、简历大赛、模拟面试等多种教学方法。</w:t>
      </w:r>
    </w:p>
    <w:p w14:paraId="3B35C7CE">
      <w:pPr>
        <w:adjustRightInd w:val="0"/>
        <w:snapToGrid w:val="0"/>
        <w:spacing w:line="400" w:lineRule="exact"/>
        <w:ind w:firstLine="420" w:firstLineChars="200"/>
        <w:rPr>
          <w:rFonts w:ascii="Times New Roman" w:hAnsi="Times New Roman" w:eastAsia="宋体" w:cs="宋体"/>
          <w:b/>
          <w:szCs w:val="21"/>
        </w:rPr>
      </w:pPr>
      <w:r>
        <w:rPr>
          <w:rFonts w:hint="eastAsia" w:ascii="宋体" w:hAnsi="宋体" w:cs="宋体"/>
          <w:szCs w:val="21"/>
        </w:rPr>
        <w:t>（4）考核评价：</w:t>
      </w:r>
      <w:r>
        <w:rPr>
          <w:rFonts w:hint="eastAsia" w:ascii="宋体" w:hAnsi="宋体" w:cs="宋体"/>
          <w:bCs/>
          <w:szCs w:val="21"/>
        </w:rPr>
        <w:t>过程考核占40%+综合考核占60%。</w:t>
      </w:r>
    </w:p>
    <w:p w14:paraId="7DB49F99">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eastAsia="宋体" w:cs="宋体"/>
          <w:b/>
          <w:szCs w:val="21"/>
        </w:rPr>
        <w:t>15.国家安全教育</w:t>
      </w:r>
    </w:p>
    <w:p w14:paraId="61B577CD">
      <w:pPr>
        <w:pStyle w:val="12"/>
        <w:spacing w:beforeAutospacing="0" w:afterAutospacing="0" w:line="400" w:lineRule="exact"/>
        <w:ind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24EFDDEB">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（1）知识目标：掌握国家安全的基本理论、政策法规及交通安全相关的国家安全风险及防范措施，理解交通安全与国家安全的紧密联系。</w:t>
      </w:r>
    </w:p>
    <w:p w14:paraId="78DD7582">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（2）能力目标：培养学生分析和识别交通领域国家安全隐患的能力，提升应对复杂安全问题的实际操作技能，增强风险预警和应急处置能力。</w:t>
      </w:r>
    </w:p>
    <w:p w14:paraId="4DA2C66A">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（3）素质目标：强化思想政治教育，树立正确的国家观念和职业道德，激发爱国主义精神，培养高度的社会责任感和守法意识，推动学生在未来工作中践行国家安全职责。</w:t>
      </w:r>
    </w:p>
    <w:p w14:paraId="4ED3349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5738DBBF">
      <w:pPr>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（1）</w:t>
      </w:r>
      <w:r>
        <w:rPr>
          <w:rFonts w:hint="eastAsia" w:ascii="宋体" w:hAnsi="宋体" w:eastAsia="宋体" w:cs="宋体"/>
          <w:bCs/>
          <w:szCs w:val="21"/>
          <w:lang w:bidi="ar"/>
        </w:rPr>
        <w:t>总体国家安全观总论；（2）政治安全；（3）国土安全；（4）军事安全；（5）经济安全；（6）文化安全；（7）社会安全；(8)科技安全；（9）网络安全；（10）生态安全；（11）资源安全；（12）核安全；（13）海外利益安全；（14）新型领域安全。</w:t>
      </w:r>
    </w:p>
    <w:p w14:paraId="4C5FC2C6">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657176C1">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 xml:space="preserve">（1）教师要求：具有较高的政治素养和责任感，能够有效开展思政教育，激发学生的国家安全意识。能够将国家安全理论与交通行业实务结合，具备较强的教学与案例分析能力。 </w:t>
      </w:r>
    </w:p>
    <w:p w14:paraId="1F643FF4">
      <w:pPr>
        <w:pStyle w:val="12"/>
        <w:widowControl/>
        <w:autoSpaceDE w:val="0"/>
        <w:spacing w:beforeAutospacing="0" w:afterAutospacing="0" w:line="400" w:lineRule="exact"/>
        <w:ind w:firstLine="420" w:firstLineChars="200"/>
        <w:rPr>
          <w:rFonts w:ascii="宋体" w:hAnsi="宋体" w:eastAsia="宋体" w:cs="宋体"/>
          <w:bCs/>
          <w:kern w:val="2"/>
          <w:sz w:val="21"/>
          <w:szCs w:val="21"/>
        </w:rPr>
      </w:pPr>
      <w:r>
        <w:rPr>
          <w:rFonts w:hint="eastAsia" w:ascii="宋体" w:hAnsi="宋体" w:eastAsia="宋体" w:cs="宋体"/>
          <w:bCs/>
          <w:kern w:val="2"/>
          <w:sz w:val="21"/>
          <w:szCs w:val="21"/>
          <w:lang w:bidi="ar"/>
        </w:rPr>
        <w:t xml:space="preserve">（2）教学条件：配备多媒体教学设施和交通安全模拟实验设备，支持实践教学与案例研究。提供丰富的教学资源，包括国家安全相关政策文本、案例库及专业书籍。 </w:t>
      </w:r>
    </w:p>
    <w:p w14:paraId="7F15579E">
      <w:pPr>
        <w:pStyle w:val="12"/>
        <w:widowControl/>
        <w:autoSpaceDE w:val="0"/>
        <w:spacing w:beforeAutospacing="0" w:afterAutospacing="0" w:line="400" w:lineRule="exact"/>
        <w:ind w:firstLine="420" w:firstLineChars="200"/>
        <w:rPr>
          <w:rFonts w:ascii="宋体" w:hAnsi="宋体" w:eastAsia="宋体" w:cs="宋体"/>
          <w:bCs/>
          <w:kern w:val="2"/>
          <w:sz w:val="21"/>
          <w:szCs w:val="21"/>
          <w:lang w:bidi="ar"/>
        </w:rPr>
      </w:pPr>
      <w:r>
        <w:rPr>
          <w:rFonts w:hint="eastAsia" w:ascii="宋体" w:hAnsi="宋体" w:eastAsia="宋体" w:cs="宋体"/>
          <w:bCs/>
          <w:kern w:val="2"/>
          <w:sz w:val="21"/>
          <w:szCs w:val="21"/>
          <w:lang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23B2B056">
      <w:pPr>
        <w:adjustRightInd w:val="0"/>
        <w:snapToGrid w:val="0"/>
        <w:spacing w:line="400" w:lineRule="exact"/>
        <w:ind w:firstLine="420" w:firstLineChars="200"/>
        <w:rPr>
          <w:rFonts w:ascii="Times New Roman" w:hAnsi="Times New Roman" w:eastAsia="宋体" w:cs="宋体"/>
          <w:b/>
          <w:szCs w:val="21"/>
        </w:rPr>
      </w:pPr>
      <w:r>
        <w:rPr>
          <w:rFonts w:hint="eastAsia" w:ascii="宋体" w:hAnsi="宋体" w:eastAsia="宋体" w:cs="宋体"/>
          <w:bCs/>
          <w:szCs w:val="21"/>
          <w:lang w:bidi="ar"/>
        </w:rPr>
        <w:t>（4）考核评价：过程考核占</w:t>
      </w:r>
      <w:r>
        <w:rPr>
          <w:rFonts w:cs="宋体"/>
          <w:bCs/>
          <w:szCs w:val="21"/>
          <w:lang w:bidi="ar"/>
        </w:rPr>
        <w:t>4</w:t>
      </w:r>
      <w:r>
        <w:rPr>
          <w:rFonts w:hint="eastAsia" w:ascii="宋体" w:hAnsi="宋体" w:eastAsia="宋体" w:cs="宋体"/>
          <w:bCs/>
          <w:szCs w:val="21"/>
          <w:lang w:bidi="ar"/>
        </w:rPr>
        <w:t>0%+综合考核占</w:t>
      </w:r>
      <w:r>
        <w:rPr>
          <w:rFonts w:cs="宋体"/>
          <w:bCs/>
          <w:szCs w:val="21"/>
          <w:lang w:bidi="ar"/>
        </w:rPr>
        <w:t>6</w:t>
      </w:r>
      <w:r>
        <w:rPr>
          <w:rFonts w:hint="eastAsia" w:ascii="宋体" w:hAnsi="宋体" w:eastAsia="宋体" w:cs="宋体"/>
          <w:bCs/>
          <w:szCs w:val="21"/>
          <w:lang w:bidi="ar"/>
        </w:rPr>
        <w:t>0%。</w:t>
      </w:r>
    </w:p>
    <w:p w14:paraId="56A943E7">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eastAsia="宋体" w:cs="宋体"/>
          <w:b/>
          <w:szCs w:val="21"/>
        </w:rPr>
        <w:t>16.大学生心理健康教育</w:t>
      </w:r>
    </w:p>
    <w:p w14:paraId="1E6B1F43">
      <w:pPr>
        <w:pStyle w:val="12"/>
        <w:autoSpaceDE w:val="0"/>
        <w:spacing w:beforeAutospacing="0" w:afterAutospacing="0" w:line="400" w:lineRule="exact"/>
        <w:ind w:firstLine="422" w:firstLineChars="200"/>
        <w:jc w:val="both"/>
        <w:rPr>
          <w:rFonts w:ascii="宋体" w:hAnsi="宋体" w:eastAsia="宋体" w:cs="宋体"/>
          <w:b/>
          <w:kern w:val="2"/>
          <w:sz w:val="21"/>
          <w:szCs w:val="21"/>
        </w:rPr>
      </w:pPr>
      <w:r>
        <w:rPr>
          <w:rFonts w:hint="eastAsia" w:ascii="宋体" w:hAnsi="宋体" w:eastAsia="宋体" w:cs="宋体"/>
          <w:b/>
          <w:kern w:val="2"/>
          <w:sz w:val="21"/>
          <w:szCs w:val="21"/>
          <w:lang w:bidi="ar"/>
        </w:rPr>
        <w:t>课程目标：</w:t>
      </w:r>
    </w:p>
    <w:p w14:paraId="4EB7E792">
      <w:pPr>
        <w:pStyle w:val="12"/>
        <w:autoSpaceDE w:val="0"/>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51560A1C">
      <w:pPr>
        <w:pStyle w:val="12"/>
        <w:autoSpaceDE w:val="0"/>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（2）能力目标：提升自我认知与情绪识别能力，能察觉学习实践中的心理变化。增强团队协作中的沟通能力，学会应对各类心理挑战，提高在交通职业环境中解决心理问题的实践能力。</w:t>
      </w:r>
    </w:p>
    <w:p w14:paraId="33A6243C">
      <w:pPr>
        <w:pStyle w:val="12"/>
        <w:autoSpaceDE w:val="0"/>
        <w:spacing w:beforeAutospacing="0" w:afterAutospacing="0" w:line="400" w:lineRule="exact"/>
        <w:ind w:firstLine="420" w:firstLineChars="200"/>
        <w:jc w:val="both"/>
        <w:rPr>
          <w:rFonts w:ascii="宋体" w:hAnsi="宋体" w:eastAsia="宋体" w:cs="宋体"/>
          <w:bCs/>
          <w:color w:val="FF0000"/>
          <w:kern w:val="2"/>
          <w:sz w:val="21"/>
          <w:szCs w:val="21"/>
        </w:rPr>
      </w:pPr>
      <w:r>
        <w:rPr>
          <w:rFonts w:hint="eastAsia" w:ascii="宋体" w:hAnsi="宋体" w:eastAsia="宋体" w:cs="宋体"/>
          <w:bCs/>
          <w:kern w:val="2"/>
          <w:sz w:val="21"/>
          <w:szCs w:val="21"/>
          <w:lang w:bidi="ar"/>
        </w:rPr>
        <w:t>（3）素质目标：将课程所学与强国建设使命结合，培养爱岗敬业、责任担当精神，增强社会责任感。形成坚韧意志与正确价值观，实现心理素质与思想道德素质协同发展，为行业发展和社会进步贡献力量。</w:t>
      </w:r>
    </w:p>
    <w:p w14:paraId="0BBC3AF3">
      <w:pPr>
        <w:autoSpaceDE w:val="0"/>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15721F44">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cs="宋体"/>
          <w:bCs/>
          <w:szCs w:val="21"/>
          <w:lang w:bidi="ar"/>
        </w:rPr>
        <w:t>（1）</w:t>
      </w:r>
      <w:r>
        <w:rPr>
          <w:rFonts w:hint="eastAsia" w:ascii="宋体" w:hAnsi="宋体" w:eastAsia="宋体" w:cs="宋体"/>
          <w:bCs/>
          <w:szCs w:val="21"/>
          <w:lang w:bidi="ar"/>
        </w:rPr>
        <w:t>大学生心理健康导论（2）认识自我（3）学习心理（4）人际交往（5）恋爱心理（6）性心理（7）家庭关系（8）情绪管理（9）网络心理（10）压力与应对（11）生命意义与危机干预（12）职业生涯规划</w:t>
      </w:r>
    </w:p>
    <w:p w14:paraId="59455B1D">
      <w:pPr>
        <w:autoSpaceDE w:val="0"/>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42F5EB17">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70C7030F">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（2）教学条件：需配备多媒体教室（含投影仪、音响等设备），提供配套教材、教学PPT、心理案例库（涵盖学习、人际、职业等场景）及相关文献资源。</w:t>
      </w:r>
    </w:p>
    <w:p w14:paraId="4DF2D009">
      <w:pPr>
        <w:autoSpaceDE w:val="0"/>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（3）教学方法：现场教学法、分组讨论法、直观演示法、案例分析法、启发教学法和角色扮演。</w:t>
      </w:r>
    </w:p>
    <w:p w14:paraId="5C78F9C2">
      <w:pPr>
        <w:autoSpaceDE w:val="0"/>
        <w:adjustRightInd w:val="0"/>
        <w:snapToGrid w:val="0"/>
        <w:spacing w:line="400" w:lineRule="exact"/>
        <w:ind w:firstLine="420" w:firstLineChars="200"/>
        <w:rPr>
          <w:rFonts w:ascii="Times New Roman" w:hAnsi="Times New Roman" w:eastAsia="宋体" w:cs="宋体"/>
          <w:b/>
          <w:szCs w:val="21"/>
        </w:rPr>
      </w:pPr>
      <w:r>
        <w:rPr>
          <w:rFonts w:hint="eastAsia" w:ascii="宋体" w:hAnsi="宋体" w:eastAsia="宋体" w:cs="宋体"/>
          <w:bCs/>
          <w:szCs w:val="21"/>
          <w:lang w:bidi="ar"/>
        </w:rPr>
        <w:t>（4）考核评价：过程考核占40%+期末考核占60%。</w:t>
      </w:r>
    </w:p>
    <w:p w14:paraId="2E1F7711">
      <w:pPr>
        <w:adjustRightInd w:val="0"/>
        <w:snapToGrid w:val="0"/>
        <w:spacing w:line="400" w:lineRule="exact"/>
        <w:ind w:firstLine="422" w:firstLineChars="200"/>
        <w:rPr>
          <w:rFonts w:ascii="Times New Roman" w:hAnsi="Times New Roman" w:eastAsia="宋体" w:cs="宋体"/>
          <w:b/>
          <w:szCs w:val="21"/>
        </w:rPr>
      </w:pPr>
      <w:r>
        <w:rPr>
          <w:rFonts w:hint="eastAsia" w:ascii="Times New Roman" w:hAnsi="Times New Roman" w:eastAsia="宋体" w:cs="宋体"/>
          <w:b/>
          <w:szCs w:val="21"/>
        </w:rPr>
        <w:t>17.劳动教育</w:t>
      </w:r>
    </w:p>
    <w:p w14:paraId="72C1958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1748F86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w:t>
      </w:r>
    </w:p>
    <w:p w14:paraId="52ABD6F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知识目标一：通过劳动教育课程，培养学生正确的劳动观念、劳动习惯和劳动精神，增强学生社会责任感与实践能力。</w:t>
      </w:r>
    </w:p>
    <w:p w14:paraId="0E90928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知识目标二：落实国家关于加强新时代大中小学劳动教育的要求，使学生理解劳动创造价值、劳动最光荣的内涵，掌握基本劳动技能，形成尊重劳动、热爱劳动的品质，促进学生全面发展。</w:t>
      </w:r>
    </w:p>
    <w:p w14:paraId="76DBD56A">
      <w:pPr>
        <w:adjustRightInd w:val="0"/>
        <w:snapToGrid w:val="0"/>
        <w:spacing w:line="400" w:lineRule="exact"/>
        <w:ind w:firstLine="420" w:firstLineChars="200"/>
        <w:rPr>
          <w:rFonts w:ascii="宋体" w:hAnsi="宋体" w:eastAsia="宋体" w:cs="宋体"/>
          <w:szCs w:val="21"/>
        </w:rPr>
      </w:pPr>
      <w:r>
        <w:rPr>
          <w:rFonts w:hint="eastAsia" w:ascii="宋体" w:hAnsi="宋体" w:cs="宋体"/>
          <w:szCs w:val="21"/>
          <w:lang w:bidi="ar"/>
        </w:rPr>
        <w:t>（2）</w:t>
      </w:r>
      <w:r>
        <w:rPr>
          <w:rFonts w:hint="eastAsia" w:ascii="宋体" w:hAnsi="宋体" w:eastAsia="宋体" w:cs="宋体"/>
          <w:szCs w:val="21"/>
          <w:lang w:bidi="ar"/>
        </w:rPr>
        <w:t>能力目标</w:t>
      </w:r>
    </w:p>
    <w:p w14:paraId="2DC1C6A7">
      <w:pPr>
        <w:spacing w:line="400" w:lineRule="exact"/>
        <w:ind w:firstLine="420" w:firstLineChars="200"/>
        <w:rPr>
          <w:rFonts w:ascii="宋体" w:hAnsi="宋体" w:eastAsia="宋体" w:cs="宋体"/>
          <w:szCs w:val="21"/>
        </w:rPr>
      </w:pPr>
      <w:r>
        <w:rPr>
          <w:rFonts w:hint="eastAsia" w:ascii="宋体" w:hAnsi="宋体" w:eastAsia="宋体" w:cs="宋体"/>
          <w:szCs w:val="21"/>
          <w:lang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08F94A78">
      <w:pPr>
        <w:adjustRightInd w:val="0"/>
        <w:snapToGrid w:val="0"/>
        <w:spacing w:line="400" w:lineRule="exact"/>
        <w:ind w:firstLine="420" w:firstLineChars="200"/>
        <w:rPr>
          <w:rFonts w:ascii="宋体" w:hAnsi="宋体" w:eastAsia="宋体" w:cs="宋体"/>
          <w:szCs w:val="21"/>
        </w:rPr>
      </w:pPr>
      <w:r>
        <w:rPr>
          <w:rFonts w:hint="eastAsia" w:ascii="宋体" w:hAnsi="宋体" w:cs="宋体"/>
          <w:szCs w:val="21"/>
          <w:lang w:bidi="ar"/>
        </w:rPr>
        <w:t>（3）</w:t>
      </w:r>
      <w:r>
        <w:rPr>
          <w:rFonts w:hint="eastAsia" w:ascii="宋体" w:hAnsi="宋体" w:eastAsia="宋体" w:cs="宋体"/>
          <w:szCs w:val="21"/>
          <w:lang w:bidi="ar"/>
        </w:rPr>
        <w:t>素质目标</w:t>
      </w:r>
    </w:p>
    <w:p w14:paraId="09499EF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培养学生尊重劳动、崇尚技能的价值观，强化责任意识与吃苦精神。通过劳动实践塑造严谨细致、精益求精的工匠态度，增强集体荣誉感与社会服务意识。引导学生树立</w:t>
      </w:r>
      <w:r>
        <w:rPr>
          <w:rFonts w:hint="eastAsia" w:cs="Times New Roman"/>
          <w:szCs w:val="21"/>
          <w:lang w:bidi="ar"/>
        </w:rPr>
        <w:t>“</w:t>
      </w:r>
      <w:r>
        <w:rPr>
          <w:rFonts w:hint="eastAsia" w:ascii="宋体" w:hAnsi="宋体" w:eastAsia="宋体" w:cs="宋体"/>
          <w:szCs w:val="21"/>
          <w:lang w:bidi="ar"/>
        </w:rPr>
        <w:t>劳动创造价值</w:t>
      </w:r>
      <w:r>
        <w:rPr>
          <w:rFonts w:hint="eastAsia" w:cs="Times New Roman"/>
          <w:szCs w:val="21"/>
          <w:lang w:bidi="ar"/>
        </w:rPr>
        <w:t>”</w:t>
      </w:r>
      <w:r>
        <w:rPr>
          <w:rFonts w:hint="eastAsia" w:ascii="宋体" w:hAnsi="宋体" w:eastAsia="宋体" w:cs="宋体"/>
          <w:szCs w:val="21"/>
          <w:lang w:bidi="ar"/>
        </w:rPr>
        <w:t>的人生观，形成勤俭节约、绿色环保的生活理念，最终成长为德技并修的新时代应用型人才。</w:t>
      </w:r>
    </w:p>
    <w:p w14:paraId="3D55B20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70630CD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（1）劳动理论与价值观教育：包括马克思主义劳动观、劳动法律法规、劳动安全与权益保护等知识，引导学生树立正确的劳动价值观</w:t>
      </w:r>
      <w:r>
        <w:rPr>
          <w:rFonts w:hint="eastAsia" w:ascii="宋体" w:hAnsi="宋体" w:cs="宋体"/>
          <w:szCs w:val="21"/>
          <w:lang w:bidi="ar"/>
        </w:rPr>
        <w:t>；</w:t>
      </w:r>
      <w:r>
        <w:rPr>
          <w:rFonts w:hint="eastAsia" w:ascii="宋体" w:hAnsi="宋体" w:eastAsia="宋体" w:cs="宋体"/>
          <w:szCs w:val="21"/>
          <w:lang w:bidi="ar"/>
        </w:rPr>
        <w:t>（2）日常生活劳动实践：开展校园环境维护、宿舍内务整理、食堂帮厨等实践活动，培养学生生活自理能力与卫生习惯</w:t>
      </w:r>
      <w:r>
        <w:rPr>
          <w:rFonts w:hint="eastAsia" w:ascii="宋体" w:hAnsi="宋体" w:cs="宋体"/>
          <w:szCs w:val="21"/>
          <w:lang w:bidi="ar"/>
        </w:rPr>
        <w:t>；</w:t>
      </w:r>
      <w:r>
        <w:rPr>
          <w:rFonts w:hint="eastAsia" w:ascii="宋体" w:hAnsi="宋体" w:eastAsia="宋体" w:cs="宋体"/>
          <w:szCs w:val="21"/>
          <w:lang w:bidi="ar"/>
        </w:rPr>
        <w:t>（3）生产劳动技能训练：结合电子商务专业特点，组织物流包装、商品分拣、电商运营模拟等实训，提升学生动手能力和职业素养</w:t>
      </w:r>
      <w:r>
        <w:rPr>
          <w:rFonts w:hint="eastAsia" w:ascii="宋体" w:hAnsi="宋体" w:cs="宋体"/>
          <w:szCs w:val="21"/>
          <w:lang w:bidi="ar"/>
        </w:rPr>
        <w:t>；</w:t>
      </w:r>
      <w:r>
        <w:rPr>
          <w:rFonts w:hint="eastAsia" w:ascii="宋体" w:hAnsi="宋体" w:eastAsia="宋体" w:cs="宋体"/>
          <w:szCs w:val="21"/>
          <w:lang w:bidi="ar"/>
        </w:rPr>
        <w:t>（4）公益服务劳动体验：参与社区志愿服务、校园公益活动，增强学生社会责任感与奉献精神。</w:t>
      </w:r>
    </w:p>
    <w:p w14:paraId="3ABFBF8E">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1328215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（1）教师要求：</w:t>
      </w:r>
      <w:r>
        <w:rPr>
          <w:rFonts w:hint="eastAsia" w:ascii="宋体" w:hAnsi="宋体" w:eastAsia="宋体" w:cs="宋体"/>
          <w:szCs w:val="21"/>
          <w:lang w:bidi="ar"/>
        </w:rPr>
        <w:t>理论教学要通过课堂讲授、案例分析、小组讨论等形式，确保学生掌握劳动教育基本理论。</w:t>
      </w:r>
    </w:p>
    <w:p w14:paraId="1F8BAD0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（2）教学条件：</w:t>
      </w:r>
      <w:r>
        <w:rPr>
          <w:rFonts w:hint="eastAsia" w:ascii="宋体" w:hAnsi="宋体" w:eastAsia="宋体" w:cs="宋体"/>
          <w:szCs w:val="21"/>
          <w:lang w:bidi="ar"/>
        </w:rPr>
        <w:t>严格遵守劳动安全规范，配备必要防护用品，确保实践活动安全有序开展。进行资源整合，联合校企合作单位、社区组织共建劳动实践基地，丰富劳动教育形式与内容。</w:t>
      </w:r>
    </w:p>
    <w:p w14:paraId="30666DD4">
      <w:pPr>
        <w:pStyle w:val="12"/>
        <w:autoSpaceDE w:val="0"/>
        <w:spacing w:beforeAutospacing="0" w:afterAutospacing="0" w:line="400" w:lineRule="exact"/>
        <w:ind w:firstLine="420" w:firstLineChars="200"/>
        <w:jc w:val="both"/>
        <w:rPr>
          <w:rFonts w:ascii="宋体" w:hAnsi="宋体" w:eastAsia="宋体" w:cs="宋体"/>
          <w:bCs/>
          <w:kern w:val="2"/>
          <w:sz w:val="21"/>
          <w:szCs w:val="21"/>
        </w:rPr>
      </w:pPr>
      <w:r>
        <w:rPr>
          <w:rFonts w:hint="eastAsia" w:ascii="宋体" w:hAnsi="宋体" w:eastAsia="宋体" w:cs="宋体"/>
          <w:bCs/>
          <w:kern w:val="2"/>
          <w:sz w:val="21"/>
          <w:szCs w:val="21"/>
          <w:lang w:bidi="ar"/>
        </w:rPr>
        <w:t>（3）教学方法：在线理论教学+线下劳动实践。</w:t>
      </w:r>
    </w:p>
    <w:p w14:paraId="07787CF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lang w:bidi="ar"/>
        </w:rPr>
        <w:t>（4）考核评价</w:t>
      </w:r>
      <w:r>
        <w:rPr>
          <w:rFonts w:ascii="宋体" w:hAnsi="宋体" w:cs="宋体"/>
          <w:bCs/>
          <w:szCs w:val="21"/>
          <w:lang w:bidi="ar"/>
        </w:rPr>
        <w:t>：</w:t>
      </w:r>
      <w:r>
        <w:rPr>
          <w:rFonts w:hint="eastAsia" w:ascii="宋体" w:hAnsi="宋体" w:eastAsia="宋体" w:cs="宋体"/>
          <w:bCs/>
          <w:szCs w:val="21"/>
          <w:lang w:bidi="ar"/>
        </w:rPr>
        <w:t>以</w:t>
      </w:r>
      <w:r>
        <w:rPr>
          <w:rFonts w:hint="eastAsia" w:ascii="宋体" w:hAnsi="宋体" w:eastAsia="宋体" w:cs="宋体"/>
          <w:szCs w:val="21"/>
          <w:lang w:bidi="ar"/>
        </w:rPr>
        <w:t>实践考核为主，劳动实践时长不少于16学时，采用过程性评价与成果展示相结合的方式，考核学生劳动态度、技能掌握情况。</w:t>
      </w:r>
    </w:p>
    <w:p w14:paraId="21F4EF51">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（二）专业理论课程</w:t>
      </w:r>
    </w:p>
    <w:p w14:paraId="1947FF93">
      <w:pPr>
        <w:spacing w:line="400" w:lineRule="exact"/>
        <w:ind w:firstLine="404" w:firstLineChars="200"/>
        <w:rPr>
          <w:rFonts w:ascii="宋体" w:hAnsi="宋体" w:cs="宋体"/>
          <w:bCs/>
          <w:color w:val="0070C0"/>
          <w:szCs w:val="21"/>
        </w:rPr>
      </w:pPr>
      <w:r>
        <w:rPr>
          <w:rFonts w:hint="eastAsia"/>
          <w:color w:val="000000" w:themeColor="text1"/>
          <w:spacing w:val="-4"/>
          <w14:textFill>
            <w14:solidFill>
              <w14:schemeClr w14:val="tx1"/>
            </w14:solidFill>
          </w14:textFill>
        </w:rPr>
        <w:t>本专业专业理论课程包含专业必修课程和专业选修课程两大类。专业必修课程</w:t>
      </w:r>
      <w:r>
        <w:rPr>
          <w:color w:val="000000" w:themeColor="text1"/>
          <w:spacing w:val="-4"/>
          <w14:textFill>
            <w14:solidFill>
              <w14:schemeClr w14:val="tx1"/>
            </w14:solidFill>
          </w14:textFill>
        </w:rPr>
        <w:t>包括《</w:t>
      </w:r>
      <w:r>
        <w:rPr>
          <w:rFonts w:hint="eastAsia"/>
          <w:color w:val="000000" w:themeColor="text1"/>
          <w:spacing w:val="-4"/>
          <w14:textFill>
            <w14:solidFill>
              <w14:schemeClr w14:val="tx1"/>
            </w14:solidFill>
          </w14:textFill>
        </w:rPr>
        <w:t>新能源汽车底盘技术及检修</w:t>
      </w:r>
      <w:r>
        <w:rPr>
          <w:color w:val="000000" w:themeColor="text1"/>
          <w:spacing w:val="-4"/>
          <w14:textFill>
            <w14:solidFill>
              <w14:schemeClr w14:val="tx1"/>
            </w14:solidFill>
          </w14:textFill>
        </w:rPr>
        <w:t>》</w:t>
      </w:r>
      <w:r>
        <w:rPr>
          <w:rFonts w:hint="eastAsia"/>
          <w:color w:val="000000" w:themeColor="text1"/>
          <w:spacing w:val="-4"/>
          <w14:textFill>
            <w14:solidFill>
              <w14:schemeClr w14:val="tx1"/>
            </w14:solidFill>
          </w14:textFill>
        </w:rPr>
        <w:t>、</w:t>
      </w:r>
      <w:r>
        <w:rPr>
          <w:color w:val="000000" w:themeColor="text1"/>
          <w:spacing w:val="-4"/>
          <w14:textFill>
            <w14:solidFill>
              <w14:schemeClr w14:val="tx1"/>
            </w14:solidFill>
          </w14:textFill>
        </w:rPr>
        <w:t>《</w:t>
      </w:r>
      <w:r>
        <w:rPr>
          <w:rFonts w:hint="eastAsia" w:ascii="Times New Roman" w:hAnsi="Times New Roman" w:eastAsia="宋体" w:cs="Times New Roman"/>
          <w:szCs w:val="21"/>
        </w:rPr>
        <w:t>汽车电子控制原理及技术应用</w:t>
      </w:r>
      <w:r>
        <w:rPr>
          <w:color w:val="000000" w:themeColor="text1"/>
          <w:spacing w:val="-4"/>
          <w14:textFill>
            <w14:solidFill>
              <w14:schemeClr w14:val="tx1"/>
            </w14:solidFill>
          </w14:textFill>
        </w:rPr>
        <w:t>》</w:t>
      </w:r>
      <w:r>
        <w:rPr>
          <w:rFonts w:hint="eastAsia"/>
          <w:color w:val="000000" w:themeColor="text1"/>
          <w:spacing w:val="-4"/>
          <w14:textFill>
            <w14:solidFill>
              <w14:schemeClr w14:val="tx1"/>
            </w14:solidFill>
          </w14:textFill>
        </w:rPr>
        <w:t>、</w:t>
      </w:r>
      <w:r>
        <w:rPr>
          <w:color w:val="000000" w:themeColor="text1"/>
          <w:spacing w:val="-4"/>
          <w14:textFill>
            <w14:solidFill>
              <w14:schemeClr w14:val="tx1"/>
            </w14:solidFill>
          </w14:textFill>
        </w:rPr>
        <w:t>《</w:t>
      </w:r>
      <w:r>
        <w:rPr>
          <w:rFonts w:hint="eastAsia"/>
          <w:color w:val="000000" w:themeColor="text1"/>
          <w:spacing w:val="-4"/>
          <w14:textFill>
            <w14:solidFill>
              <w14:schemeClr w14:val="tx1"/>
            </w14:solidFill>
          </w14:textFill>
        </w:rPr>
        <w:t>驱动电机系统检测与维修</w:t>
      </w:r>
      <w:r>
        <w:rPr>
          <w:color w:val="000000" w:themeColor="text1"/>
          <w:spacing w:val="-4"/>
          <w14:textFill>
            <w14:solidFill>
              <w14:schemeClr w14:val="tx1"/>
            </w14:solidFill>
          </w14:textFill>
        </w:rPr>
        <w:t>》</w:t>
      </w:r>
      <w:r>
        <w:rPr>
          <w:rFonts w:hint="eastAsia"/>
          <w:color w:val="000000" w:themeColor="text1"/>
          <w:spacing w:val="-4"/>
          <w14:textFill>
            <w14:solidFill>
              <w14:schemeClr w14:val="tx1"/>
            </w14:solidFill>
          </w14:textFill>
        </w:rPr>
        <w:t>、</w:t>
      </w:r>
      <w:r>
        <w:rPr>
          <w:color w:val="000000" w:themeColor="text1"/>
          <w:spacing w:val="-4"/>
          <w14:textFill>
            <w14:solidFill>
              <w14:schemeClr w14:val="tx1"/>
            </w14:solidFill>
          </w14:textFill>
        </w:rPr>
        <w:t>《</w:t>
      </w:r>
      <w:r>
        <w:rPr>
          <w:rFonts w:hint="eastAsia"/>
          <w:color w:val="000000" w:themeColor="text1"/>
          <w:spacing w:val="-4"/>
          <w14:textFill>
            <w14:solidFill>
              <w14:schemeClr w14:val="tx1"/>
            </w14:solidFill>
          </w14:textFill>
        </w:rPr>
        <w:t>动力电池管理及维护技术</w:t>
      </w:r>
      <w:r>
        <w:rPr>
          <w:color w:val="000000" w:themeColor="text1"/>
          <w:spacing w:val="-3"/>
          <w14:textFill>
            <w14:solidFill>
              <w14:schemeClr w14:val="tx1"/>
            </w14:solidFill>
          </w14:textFill>
        </w:rPr>
        <w:t>》</w:t>
      </w:r>
      <w:r>
        <w:rPr>
          <w:rFonts w:hint="eastAsia"/>
          <w:color w:val="000000" w:themeColor="text1"/>
          <w:spacing w:val="-3"/>
          <w14:textFill>
            <w14:solidFill>
              <w14:schemeClr w14:val="tx1"/>
            </w14:solidFill>
          </w14:textFill>
        </w:rPr>
        <w:t>、</w:t>
      </w:r>
      <w:r>
        <w:rPr>
          <w:color w:val="000000" w:themeColor="text1"/>
          <w:spacing w:val="-3"/>
          <w14:textFill>
            <w14:solidFill>
              <w14:schemeClr w14:val="tx1"/>
            </w14:solidFill>
          </w14:textFill>
        </w:rPr>
        <w:t>《</w:t>
      </w:r>
      <w:r>
        <w:rPr>
          <w:rFonts w:hint="eastAsia"/>
          <w:color w:val="000000" w:themeColor="text1"/>
          <w:spacing w:val="-3"/>
          <w14:textFill>
            <w14:solidFill>
              <w14:schemeClr w14:val="tx1"/>
            </w14:solidFill>
          </w14:textFill>
        </w:rPr>
        <w:t>新能源汽车综合故障诊断</w:t>
      </w:r>
      <w:r>
        <w:rPr>
          <w:color w:val="000000" w:themeColor="text1"/>
          <w:spacing w:val="-3"/>
          <w14:textFill>
            <w14:solidFill>
              <w14:schemeClr w14:val="tx1"/>
            </w14:solidFill>
          </w14:textFill>
        </w:rPr>
        <w:t>》</w:t>
      </w:r>
      <w:r>
        <w:rPr>
          <w:rFonts w:hint="eastAsia"/>
          <w:color w:val="000000" w:themeColor="text1"/>
          <w:spacing w:val="-3"/>
          <w14:textFill>
            <w14:solidFill>
              <w14:schemeClr w14:val="tx1"/>
            </w14:solidFill>
          </w14:textFill>
        </w:rPr>
        <w:t>、</w:t>
      </w:r>
      <w:r>
        <w:rPr>
          <w:color w:val="000000" w:themeColor="text1"/>
          <w:spacing w:val="-3"/>
          <w14:textFill>
            <w14:solidFill>
              <w14:schemeClr w14:val="tx1"/>
            </w14:solidFill>
          </w14:textFill>
        </w:rPr>
        <w:t>《</w:t>
      </w:r>
      <w:r>
        <w:rPr>
          <w:rFonts w:hint="eastAsia"/>
          <w:color w:val="000000" w:themeColor="text1"/>
          <w:spacing w:val="-3"/>
          <w14:textFill>
            <w14:solidFill>
              <w14:schemeClr w14:val="tx1"/>
            </w14:solidFill>
          </w14:textFill>
        </w:rPr>
        <w:t>新能源汽车充电设备的维护</w:t>
      </w:r>
      <w:r>
        <w:rPr>
          <w:color w:val="000000" w:themeColor="text1"/>
          <w:spacing w:val="-3"/>
          <w14:textFill>
            <w14:solidFill>
              <w14:schemeClr w14:val="tx1"/>
            </w14:solidFill>
          </w14:textFill>
        </w:rPr>
        <w:t>》</w:t>
      </w:r>
      <w:r>
        <w:rPr>
          <w:rFonts w:hint="eastAsia"/>
          <w:color w:val="000000" w:themeColor="text1"/>
          <w:spacing w:val="-3"/>
          <w14:textFill>
            <w14:solidFill>
              <w14:schemeClr w14:val="tx1"/>
            </w14:solidFill>
          </w14:textFill>
        </w:rPr>
        <w:t>、《新能源汽车概论》、《汽车电路识图》、《新能源汽车电力电子技术》、《汽车机械制图》、《汽车机械基础》、《C语言程序设计》1</w:t>
      </w:r>
      <w:r>
        <w:rPr>
          <w:color w:val="000000" w:themeColor="text1"/>
          <w:spacing w:val="-3"/>
          <w14:textFill>
            <w14:solidFill>
              <w14:schemeClr w14:val="tx1"/>
            </w14:solidFill>
          </w14:textFill>
        </w:rPr>
        <w:t>2</w:t>
      </w:r>
      <w:r>
        <w:rPr>
          <w:color w:val="000000" w:themeColor="text1"/>
          <w:spacing w:val="-4"/>
          <w14:textFill>
            <w14:solidFill>
              <w14:schemeClr w14:val="tx1"/>
            </w14:solidFill>
          </w14:textFill>
        </w:rPr>
        <w:t>门课程，33</w:t>
      </w:r>
      <w:r>
        <w:rPr>
          <w:rFonts w:hint="eastAsia"/>
          <w:color w:val="000000" w:themeColor="text1"/>
          <w:spacing w:val="-4"/>
          <w14:textFill>
            <w14:solidFill>
              <w14:schemeClr w14:val="tx1"/>
            </w14:solidFill>
          </w14:textFill>
        </w:rPr>
        <w:t>.5</w:t>
      </w:r>
      <w:r>
        <w:rPr>
          <w:color w:val="000000" w:themeColor="text1"/>
          <w:spacing w:val="-46"/>
          <w14:textFill>
            <w14:solidFill>
              <w14:schemeClr w14:val="tx1"/>
            </w14:solidFill>
          </w14:textFill>
        </w:rPr>
        <w:t xml:space="preserve"> </w:t>
      </w:r>
      <w:r>
        <w:rPr>
          <w:color w:val="000000" w:themeColor="text1"/>
          <w:spacing w:val="-4"/>
          <w14:textFill>
            <w14:solidFill>
              <w14:schemeClr w14:val="tx1"/>
            </w14:solidFill>
          </w14:textFill>
        </w:rPr>
        <w:t>学分</w:t>
      </w:r>
      <w:r>
        <w:rPr>
          <w:rFonts w:hint="eastAsia"/>
          <w:color w:val="000000" w:themeColor="text1"/>
          <w:spacing w:val="-4"/>
          <w14:textFill>
            <w14:solidFill>
              <w14:schemeClr w14:val="tx1"/>
            </w14:solidFill>
          </w14:textFill>
        </w:rPr>
        <w:t>。</w:t>
      </w:r>
    </w:p>
    <w:p w14:paraId="49F0DD67">
      <w:pPr>
        <w:adjustRightInd w:val="0"/>
        <w:snapToGrid w:val="0"/>
        <w:spacing w:line="400" w:lineRule="exact"/>
        <w:ind w:firstLine="422" w:firstLineChars="200"/>
        <w:rPr>
          <w:rFonts w:ascii="宋体" w:hAnsi="宋体" w:cs="宋体"/>
          <w:b/>
          <w:szCs w:val="21"/>
        </w:rPr>
      </w:pPr>
      <w:r>
        <w:rPr>
          <w:rFonts w:hint="eastAsia" w:ascii="宋体" w:hAnsi="宋体" w:eastAsia="宋体" w:cs="宋体"/>
          <w:b/>
          <w:szCs w:val="21"/>
        </w:rPr>
        <w:t>1.</w:t>
      </w:r>
      <w:r>
        <w:rPr>
          <w:rFonts w:hint="eastAsia" w:ascii="宋体" w:hAnsi="宋体" w:cs="宋体"/>
          <w:b/>
          <w:szCs w:val="21"/>
        </w:rPr>
        <w:t>新能源汽车底盘技术及检修</w:t>
      </w:r>
    </w:p>
    <w:p w14:paraId="6147791E">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课程目标：</w:t>
      </w:r>
    </w:p>
    <w:p w14:paraId="48845F15">
      <w:pPr>
        <w:adjustRightInd w:val="0"/>
        <w:snapToGrid w:val="0"/>
        <w:spacing w:line="400" w:lineRule="exact"/>
        <w:ind w:firstLine="420" w:firstLineChars="200"/>
        <w:rPr>
          <w:rFonts w:ascii="宋体" w:hAnsi="宋体" w:cs="宋体"/>
          <w:szCs w:val="21"/>
        </w:rPr>
      </w:pPr>
      <w:r>
        <w:rPr>
          <w:rFonts w:hint="eastAsia" w:ascii="宋体" w:hAnsi="宋体" w:cs="宋体"/>
          <w:szCs w:val="21"/>
        </w:rPr>
        <w:t>（1）知识目标：掌握新能源汽车底盘（传动系统、行驶系统、转向系统、制动系统）的结构与工作原理；理解新能源汽车底盘与传统燃油车的差异（如电机直驱传动、再生制动集成）；熟悉底盘系统的故障类型与诊断标准。</w:t>
      </w:r>
    </w:p>
    <w:p w14:paraId="76239034">
      <w:pPr>
        <w:adjustRightInd w:val="0"/>
        <w:snapToGrid w:val="0"/>
        <w:spacing w:line="400" w:lineRule="exact"/>
        <w:ind w:firstLine="420" w:firstLineChars="200"/>
        <w:rPr>
          <w:rFonts w:ascii="宋体" w:hAnsi="宋体" w:cs="宋体"/>
          <w:szCs w:val="21"/>
        </w:rPr>
      </w:pPr>
      <w:r>
        <w:rPr>
          <w:rFonts w:hint="eastAsia" w:ascii="宋体" w:hAnsi="宋体" w:cs="宋体"/>
          <w:szCs w:val="21"/>
        </w:rPr>
        <w:t>（2）能力目标：能规范拆装新能源汽车底盘各系统部件（如减速器、电动助力转向器）；能使用专用设备（如四轮定位仪、制动试验台）检测底盘性能；能分析并排除底盘常见故障（如转向异响、制动偏磨）。</w:t>
      </w:r>
    </w:p>
    <w:p w14:paraId="1F44EF90">
      <w:pPr>
        <w:adjustRightInd w:val="0"/>
        <w:snapToGrid w:val="0"/>
        <w:spacing w:line="400" w:lineRule="exact"/>
        <w:ind w:firstLine="420" w:firstLineChars="200"/>
        <w:rPr>
          <w:rFonts w:ascii="宋体" w:hAnsi="宋体" w:cs="宋体"/>
          <w:szCs w:val="21"/>
        </w:rPr>
      </w:pPr>
      <w:r>
        <w:rPr>
          <w:rFonts w:hint="eastAsia" w:ascii="宋体" w:hAnsi="宋体" w:cs="宋体"/>
          <w:szCs w:val="21"/>
        </w:rPr>
        <w:t>（3）素质目标：培养严谨的机械拆装工艺素养和安全操作意识；具备团队协作完成底盘大修的能力，树立“以数据指导维修”的职业理念。</w:t>
      </w:r>
    </w:p>
    <w:p w14:paraId="35E6C507">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主要内容：</w:t>
      </w:r>
    </w:p>
    <w:p w14:paraId="61A7E3AB">
      <w:pPr>
        <w:adjustRightInd w:val="0"/>
        <w:snapToGrid w:val="0"/>
        <w:spacing w:line="400" w:lineRule="exact"/>
        <w:ind w:firstLine="420" w:firstLineChars="200"/>
        <w:rPr>
          <w:rFonts w:ascii="宋体" w:hAnsi="宋体" w:cs="宋体"/>
          <w:szCs w:val="21"/>
        </w:rPr>
      </w:pPr>
      <w:r>
        <w:rPr>
          <w:rFonts w:hint="eastAsia" w:ascii="宋体" w:hAnsi="宋体" w:cs="宋体"/>
          <w:szCs w:val="21"/>
        </w:rPr>
        <w:t>（1）新能源汽车底盘总体结构（与传统燃油车的差异）；（2）传动系统（减速器、半轴）的拆装与故障诊断；（3）行驶系统（悬架、车轮）的检测与维修；（4）转向系统（电动助力转向）的结构与故障排除；（5）制动系统（液压制动、再生制动协同）的检修与调试。</w:t>
      </w:r>
    </w:p>
    <w:p w14:paraId="21A94217">
      <w:pPr>
        <w:adjustRightInd w:val="0"/>
        <w:snapToGrid w:val="0"/>
        <w:spacing w:line="400" w:lineRule="exact"/>
        <w:ind w:firstLine="422" w:firstLineChars="200"/>
        <w:rPr>
          <w:rFonts w:ascii="宋体" w:hAnsi="宋体" w:cs="宋体"/>
          <w:b/>
          <w:szCs w:val="21"/>
        </w:rPr>
      </w:pPr>
      <w:r>
        <w:rPr>
          <w:rFonts w:hint="eastAsia" w:ascii="宋体" w:hAnsi="宋体" w:cs="宋体"/>
          <w:b/>
          <w:szCs w:val="21"/>
        </w:rPr>
        <w:t>教学要求：</w:t>
      </w:r>
    </w:p>
    <w:p w14:paraId="64DA47B3">
      <w:pPr>
        <w:adjustRightInd w:val="0"/>
        <w:snapToGrid w:val="0"/>
        <w:spacing w:line="400" w:lineRule="exact"/>
        <w:ind w:firstLine="420" w:firstLineChars="200"/>
        <w:rPr>
          <w:rFonts w:ascii="宋体" w:hAnsi="宋体" w:cs="宋体"/>
          <w:szCs w:val="21"/>
        </w:rPr>
      </w:pPr>
      <w:r>
        <w:rPr>
          <w:rFonts w:hint="eastAsia" w:ascii="宋体" w:hAnsi="宋体" w:cs="宋体"/>
          <w:szCs w:val="21"/>
        </w:rPr>
        <w:t>（1）教师要求：熟悉新能源汽车底盘的结构特点与维修工艺，能指导学生开展实操训练。</w:t>
      </w:r>
    </w:p>
    <w:p w14:paraId="5CCE4F94">
      <w:pPr>
        <w:adjustRightInd w:val="0"/>
        <w:snapToGrid w:val="0"/>
        <w:spacing w:line="400" w:lineRule="exact"/>
        <w:ind w:firstLine="420" w:firstLineChars="200"/>
        <w:rPr>
          <w:rFonts w:ascii="宋体" w:hAnsi="宋体" w:cs="宋体"/>
          <w:szCs w:val="21"/>
        </w:rPr>
      </w:pPr>
      <w:r>
        <w:rPr>
          <w:rFonts w:hint="eastAsia" w:ascii="宋体" w:hAnsi="宋体" w:cs="宋体"/>
          <w:szCs w:val="21"/>
        </w:rPr>
        <w:t>（2）教学条件：多媒体课件、新能源汽车底盘实训台架、四轮定位仪、制动检测设备。</w:t>
      </w:r>
    </w:p>
    <w:p w14:paraId="192D83BA">
      <w:pPr>
        <w:adjustRightInd w:val="0"/>
        <w:snapToGrid w:val="0"/>
        <w:spacing w:line="400" w:lineRule="exact"/>
        <w:ind w:firstLine="420" w:firstLineChars="200"/>
        <w:rPr>
          <w:rFonts w:ascii="宋体" w:hAnsi="宋体" w:cs="宋体"/>
          <w:szCs w:val="21"/>
        </w:rPr>
      </w:pPr>
      <w:r>
        <w:rPr>
          <w:rFonts w:hint="eastAsia" w:ascii="宋体" w:hAnsi="宋体" w:cs="宋体"/>
          <w:szCs w:val="21"/>
        </w:rPr>
        <w:t>（3）教学方法：现场教学法、动手实践法、分组竞赛法（如“底盘部件拆装速度与规范性竞赛”）。</w:t>
      </w:r>
    </w:p>
    <w:p w14:paraId="669D213A">
      <w:pPr>
        <w:adjustRightInd w:val="0"/>
        <w:snapToGrid w:val="0"/>
        <w:spacing w:line="400" w:lineRule="exact"/>
        <w:ind w:firstLine="420" w:firstLineChars="200"/>
        <w:rPr>
          <w:rFonts w:ascii="宋体" w:hAnsi="宋体" w:cs="宋体"/>
          <w:szCs w:val="21"/>
        </w:rPr>
      </w:pPr>
      <w:r>
        <w:rPr>
          <w:rFonts w:hint="eastAsia" w:ascii="宋体" w:hAnsi="宋体" w:cs="宋体"/>
          <w:szCs w:val="21"/>
        </w:rPr>
        <w:t>（4）考核评价：过程考核占70%（含底盘拆装、性能检测实操）+综合考核占30%（理论笔试）。</w:t>
      </w:r>
    </w:p>
    <w:p w14:paraId="0EC241B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2.汽车电子控制原理及技术应用</w:t>
      </w:r>
    </w:p>
    <w:p w14:paraId="2B1FB035">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04C9B4A3">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知识目标：掌握汽车典型电控系统（发动机电控、自动变速器电控、ABS、安全气囊等）的组成与控制原理；理解传感器、电控单元（ECU）、执行器的协同工作机制；了解新能源汽车电控系统与传统燃油车的技术差异（如高压电控策略）。</w:t>
      </w:r>
    </w:p>
    <w:p w14:paraId="4C022E8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（2）能力目标：能对发动机电控系统（如喷油控制、点火控制）、底盘电控系统（如ABS防抱死控制）进行故障诊断与部件检修；能解读电控系统电路图并分析控制逻辑。</w:t>
      </w:r>
    </w:p>
    <w:p w14:paraId="7693A7A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（3）素质目标：培养技术革新意识和自主学习能力，能适应汽车电控技术的快速发展；具备规范操作电控系统检测设备的职业素养。</w:t>
      </w:r>
    </w:p>
    <w:p w14:paraId="74A6EB37">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0C470F2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发动机电子控制系统（传感器、ECU、执行器及控制逻辑）；（2）电控液力自动变速器的结构、控制原理及检修；（3）ABS、ASR等主动安全系统的工作原理与故障诊断；（4）电控悬架、电控动力转向系统的结构与检修；（5）新能源汽车电控系统特性（高压配电控制、能量回收控制）。</w:t>
      </w:r>
    </w:p>
    <w:p w14:paraId="436324FC">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592D021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（1）教师要求：熟悉各类汽车电控系统的技术参数与检修标准，能结合案例解析控制逻辑。</w:t>
      </w:r>
    </w:p>
    <w:p w14:paraId="15C6810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（2）教学条件：多媒体课件、电控系统仿真软件、发动机与底盘电控实训台架。</w:t>
      </w:r>
    </w:p>
    <w:p w14:paraId="093B1E7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（3）教学方法：现场演示法、分组实操法、案例分析法（如 “ABS失效故障排查”）。</w:t>
      </w:r>
    </w:p>
    <w:p w14:paraId="7BF6CFB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（4）考核评价：过程考核占70%（含电控系统拆装、故障诊断实操）+综合考核占30%（理论笔试）。</w:t>
      </w:r>
    </w:p>
    <w:p w14:paraId="6FD4285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3.驱动电机及控制技术</w:t>
      </w:r>
    </w:p>
    <w:p w14:paraId="736F3287">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4AC54E2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知识目标：掌握新能源汽车常用驱动电机（直流电机、交流感应电机、永磁同步电机、开关磁阻电机）的结构与工作原理；理解电机控制器（MCU）的调速方法与控制策略；了解新型驱动电机（如扁线电机、油冷电机）的技术特点。</w:t>
      </w:r>
    </w:p>
    <w:p w14:paraId="38A4EB3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（2）能力目标：能对驱动电机进行拆装与性能参数测试（如绝缘电阻、转速特性）；能分析电机常见故障（如异响、过热、转速异常）并进行维修；能操作功率变换器等设备进行电机控制调试。</w:t>
      </w:r>
    </w:p>
    <w:p w14:paraId="37A8194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（3）素质目标：培养对电机技术的钻研精神和精密操作的工匠精神；具备团队协作完成电机系统测试的能力，树立安全生产意识。</w:t>
      </w:r>
    </w:p>
    <w:p w14:paraId="1E14D89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3C349E3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驱动电机基础知识（分类、工作特性）；（2）常用驱动电机的结构与拆装；（3）功率变换器的原理与应用；（4）电机调速与控制技术（矢量控制、直接转矩控制）；（5）新型驱动电机（如永磁同步电机）的技术应用与故障分析。</w:t>
      </w:r>
    </w:p>
    <w:p w14:paraId="53C82807">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34D3527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（1）教师要求：熟悉各类驱动电机的设计原理与测试标准，具备电机控制系统调试经验。</w:t>
      </w:r>
    </w:p>
    <w:p w14:paraId="055E3C9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（2）教学条件：多媒体课件、驱动电机实训台架、功率变换器实验设备、电机性能测试仪器。</w:t>
      </w:r>
    </w:p>
    <w:p w14:paraId="7230A8A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（3）教学方法：理论讲授与实操结合、分组拆装训练、仿真软件模拟（如 MATLAB/Simulink 电机控制仿真）。</w:t>
      </w:r>
    </w:p>
    <w:p w14:paraId="5FC7949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（4）考核评价：过程考核占70%（含电机拆装、性能测试实操）+综合考核占30%（理论笔试）。</w:t>
      </w:r>
    </w:p>
    <w:p w14:paraId="442687A7">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4.</w:t>
      </w:r>
      <w:r>
        <w:rPr>
          <w:rFonts w:hint="eastAsia"/>
          <w:b/>
        </w:rPr>
        <w:t>动</w:t>
      </w:r>
      <w:r>
        <w:rPr>
          <w:rFonts w:hint="eastAsia" w:ascii="宋体" w:hAnsi="宋体" w:eastAsia="宋体" w:cs="宋体"/>
          <w:b/>
          <w:szCs w:val="21"/>
        </w:rPr>
        <w:t>力电池管理及维护技术</w:t>
      </w:r>
    </w:p>
    <w:p w14:paraId="717DAE0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684CA8B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（1）知识目标：掌握动力电池（锂离子电池、磷酸铁锂电池等）的工作原理与性能参数；理解电池管理系统（BMS）的功能（状态监测、均衡控制、安全保护）；熟悉动力电池的维护规范与寿命延长策略。</w:t>
      </w:r>
    </w:p>
    <w:p w14:paraId="776B34F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（2）能力目标：能使用电池检测设备（如内阻测试仪、容量检测仪）评估电池健康状态（SOH）；能进行电池组均衡维护与简单故障排除（如单体电池失效）；能规范执行电池系统的安全维护流程。</w:t>
      </w:r>
    </w:p>
    <w:p w14:paraId="2AB9A45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（3）素质目标：培养对电池技术的严谨态度和安全防护意识；具备团队协作完成电池系统维护的能力，树立“绿色维修、安全第一”的职业操守。</w:t>
      </w:r>
    </w:p>
    <w:p w14:paraId="0C402C1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6E812B7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动力电池类型与结构；（2）BMS的功能与工作原理（SOC/SOH估算、均衡控制）；（3）动力电池安全保护机制（过充、过放、过温防护）；（4）电池系统的日常维护与定期检测；（5）动力电池回收与梯次利用基础。</w:t>
      </w:r>
    </w:p>
    <w:p w14:paraId="7369467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3ACAC16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（1）教师要求：熟悉动力电池的化学特性与安全操作规范，具备电池系统维修与测试经验。</w:t>
      </w:r>
    </w:p>
    <w:p w14:paraId="03005AA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（2）教学条件：多媒体课件、动力电池实训台架、BMS仿真系统、高压安全防护设备。</w:t>
      </w:r>
    </w:p>
    <w:p w14:paraId="13C2F24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（3）教学方法：理论讲授与实操结合、案例分析法（如“电池鼓包故障处理”）、任务驱动法。</w:t>
      </w:r>
    </w:p>
    <w:p w14:paraId="7E0E7A6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（4）考核评价：过程考核占70%（含电池检测、均衡维护实操）+综合考核占30%（理论笔试）。</w:t>
      </w:r>
    </w:p>
    <w:p w14:paraId="60AADEB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5.</w:t>
      </w:r>
      <w:r>
        <w:rPr>
          <w:rFonts w:hint="eastAsia"/>
          <w:b/>
        </w:rPr>
        <w:t>新</w:t>
      </w:r>
      <w:r>
        <w:rPr>
          <w:rFonts w:hint="eastAsia" w:ascii="宋体" w:hAnsi="宋体" w:eastAsia="宋体" w:cs="宋体"/>
          <w:b/>
          <w:szCs w:val="21"/>
        </w:rPr>
        <w:t>能源汽车综合故障诊断</w:t>
      </w:r>
    </w:p>
    <w:p w14:paraId="52417BE4">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7ADFF7E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知识目标：全面掌握新能源汽车“三电”系统（电池、电机、电控）的故障机理，理解故障码生成逻辑与数据流分析方法；清晰区分传统燃油车与新能源汽车在故障诊断流程上的差异；了解新能源汽车领域故障诊断的新技术（如云端故障预警、远程诊断）。</w:t>
      </w:r>
    </w:p>
    <w:p w14:paraId="1E7BBF5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能力目标：能熟练使用专用诊断设备（如高压绝缘测试仪、电池检测仪）读取故障信息，准确分析并排除常见故障（如电池包绝缘故障、电机控制器通讯故障）；能制定系统的故障诊断流程并规范记录维修过程。</w:t>
      </w:r>
    </w:p>
    <w:p w14:paraId="3FCC41C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（3）素质目标：培养严谨细致的故障排查态度和安全操作意识；具备团队协作解决复杂故障的能力，树立“以数据为依据、以标准为准则”的职业操守。</w:t>
      </w:r>
    </w:p>
    <w:p w14:paraId="64E0A21D">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7D71558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新能源汽车故障诊断基础（工具使用、安全规范）；（2）首保与定期维护作业中的故障预警；（3）故障码解读与数据流分析方法；（4）电池系统、电机系统、电控系统典型故障诊断策略；（5）综合故障案例实战（如续航骤降、动力中断）。</w:t>
      </w:r>
    </w:p>
    <w:p w14:paraId="174A30D1">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1866165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（1）教师要求：熟悉主流新能源汽车品牌（如比亚迪、特斯拉）的故障诊断逻辑，具备丰富的实战维修经验，能指导学生开展模拟故障排查。</w:t>
      </w:r>
    </w:p>
    <w:p w14:paraId="71E22A4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（2）教学条件：多媒体课件结合新能源汽车实训台架，配置故障仿真系统、高压安全实训设备。</w:t>
      </w:r>
    </w:p>
    <w:p w14:paraId="3859730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（3）教学方法：理实一体化教学、案例分析法、分组实战法、任务驱动法（如“给定故障现象，小组制定诊断方案”）。</w:t>
      </w:r>
    </w:p>
    <w:p w14:paraId="60242E9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（4）考核评价：过程考核占70%（含实操故障排查、维修记录规范性）+综合考核占30%（理论笔试）。</w:t>
      </w:r>
    </w:p>
    <w:p w14:paraId="557C80AC">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6.新能源汽车充电设备的维护</w:t>
      </w:r>
    </w:p>
    <w:p w14:paraId="2984001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课程目标：</w:t>
      </w:r>
    </w:p>
    <w:p w14:paraId="17EDE24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（1）知识目标：掌握新能源汽车充电设备（车载充电机、交流充电桩、直流充电桩）的工作原理；理解充电接口标准与通信协议（如GB/T 20234）；熟悉充电系统的安全操作规范。</w:t>
      </w:r>
    </w:p>
    <w:p w14:paraId="6A97735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（2）能力目标：能对充电桩进行日常巡检与维护（如接口清洁、电缆检查）；能分析并排除常见充电故障（如无法充电、充电中断）；能协助进行充电辅助设施（如充电站配电系统）的基础维护。</w:t>
      </w:r>
    </w:p>
    <w:p w14:paraId="2745677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（3）素质目标：培养安全用电意识和细致的设备维护态度；具备团队协作完成充电站设备检修的能力，树立“服务至上、安全第一”的职业理念。</w:t>
      </w:r>
    </w:p>
    <w:p w14:paraId="3DD3675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主要内容：</w:t>
      </w:r>
    </w:p>
    <w:p w14:paraId="52CA085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充电技术基础（充电原理、接口标准）；（2）车载充电机与充电桩的结构及工作原理；（3）充电桩的日常维护与故障诊断（如通讯故障、供电故障）；（4）充电安全操作与应急处理；（5）充电辅助设施（如配电柜、监控系统）的基础维护。</w:t>
      </w:r>
    </w:p>
    <w:p w14:paraId="0B84B90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教学要求：</w:t>
      </w:r>
    </w:p>
    <w:p w14:paraId="5C29EEC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（1）教师要求：熟悉各类充电桩的技术参数与维护标准，具备充电站设备检修经验。</w:t>
      </w:r>
    </w:p>
    <w:p w14:paraId="72DF10F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（2）教学条件：多媒体课件、充电桩实训模型、充电接口仿真设备、安全操作实训区。</w:t>
      </w:r>
    </w:p>
    <w:p w14:paraId="181F674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（3）教学方法：现场教学法、实操训练法、案例分析法（如“充电桩无法启动故障排查”）。</w:t>
      </w:r>
    </w:p>
    <w:p w14:paraId="678B437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（4）考核评价：过程考核占70%（含充电桩维护实操、安全操作规范）+综合考核占30%（理论笔试）。</w:t>
      </w:r>
    </w:p>
    <w:p w14:paraId="3843FA3C">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7.新能源汽车概论</w:t>
      </w:r>
    </w:p>
    <w:p w14:paraId="78A5230C">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3C2A11C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新能源汽车的定义、分类（纯电动汽车、混合动力汽车、燃料电池汽车等）及发展历程；理解各类新能源汽车的核心技术（三电系统、能量管理等）与传统燃油车的本质区别；了解新能源汽车行业政策、技术趋势（如800V高压平台、换电技术）及市场格局。</w:t>
      </w:r>
    </w:p>
    <w:p w14:paraId="0E90E66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（2）能力目标：能准确识别不同类型新能源汽车的结构特征与关键部件；能简要分析新能源汽车与传统燃油车在动力传递、能源供给等方面的差异；能收集并整理新能源汽车行业最新技术资讯。</w:t>
      </w:r>
    </w:p>
    <w:p w14:paraId="77666599">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（3）素质目标：建立对新能源汽车产业的整体认知和发展信心；培养关注行业动态的习惯，具备初步的技术敏感度和创新意识。</w:t>
      </w:r>
    </w:p>
    <w:p w14:paraId="42BCB3C0">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473737F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新能源汽车的定义与分类；（2）纯电动汽车的结构与工作原理；（3）混合动力汽车的类型与控制策略；（4）燃料电池汽车的组成与特点；（5）新能源汽车关键技术（电池、电机、电控）概述；（6）新能源汽车行业政策与发展趋势。</w:t>
      </w:r>
    </w:p>
    <w:p w14:paraId="35C9EBFE">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562023A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（1）教师要求：具备新能源汽车行业宏观认知，熟悉各类车型技术特点，能结合案例解析行业动态。</w:t>
      </w:r>
    </w:p>
    <w:p w14:paraId="614AE5D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（2）教学条件：多媒体课件（含车型图片、技术视频）、新能源汽车实车或模型展示区。</w:t>
      </w:r>
    </w:p>
    <w:p w14:paraId="0ADA5D9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（3）教学方法：课堂讲授法、案例分析法（如比亚迪DM-i、特斯拉4680电池技术解析）、小组讨论法（“新能源汽车与燃油车的未来之争”）。</w:t>
      </w:r>
    </w:p>
    <w:p w14:paraId="0430ED1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（4）考核评价：过程考核占70%（含课堂互动、行业报告+综合考核占30%（理论笔试）。</w:t>
      </w:r>
    </w:p>
    <w:p w14:paraId="32198A4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8.汽车电路识图</w:t>
      </w:r>
    </w:p>
    <w:p w14:paraId="73963902">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7058604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汽车电路的基本组成（电源、导线、开关、负载等）及电路符号规范；理解汽车电路图的类型（原理框图、电路原理图、线束图）及识读规则；熟悉新能源汽车高压电路与低压电路的区别及识图要点。</w:t>
      </w:r>
    </w:p>
    <w:p w14:paraId="7BCAA13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（2）能力目标：能熟练识读传统燃油车与新能源汽车的电路原理图，分析电路逻辑关系；能根据电路图定位电路故障点（如短路、断路）；能绘制简单的汽车电路示意图。</w:t>
      </w:r>
    </w:p>
    <w:p w14:paraId="2836D689">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（3）素质目标：培养细致严谨的识图态度和逻辑分析能力；具备规范使用电路图进行维修的职业意识。</w:t>
      </w:r>
    </w:p>
    <w:p w14:paraId="42F33D26">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4DD6799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电路基础知识与汽车电路符号；（2）汽车电路图的类型与识读方法；（3）传统燃油车电路识图（发动机、底盘、车身电路）；（4）新能源汽车低压电路识图（辅助电器、控制系统）；（5）新能源汽车高压电路识图（电池、电机、充电机电路）；（6）电路图在故障诊断中的应用实例。</w:t>
      </w:r>
    </w:p>
    <w:p w14:paraId="00F01C59">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417C8E8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（1）教师要求：精通汽车电路设计原理，能清晰讲解电路图与实际电路的对应关系，具备电路故障分析经验。</w:t>
      </w:r>
    </w:p>
    <w:p w14:paraId="68F68C31">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（2）教学条件：多媒体课件（含电路图素材）、电路仿真软件、汽车电路实训台架（带电路图对照）。</w:t>
      </w:r>
    </w:p>
    <w:p w14:paraId="40D58CB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（3）教学方法：直观演示法（电路图与实物对照）、动手实践法（绘制简易电路）、任务驱动法（“根据电路图排查灯光不亮故障”）。</w:t>
      </w:r>
    </w:p>
    <w:p w14:paraId="28DF01C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（4）考核评价：过程考核占70%（含识图作业、电路分析实操）+综合考核占30%（电路图识读笔试）。</w:t>
      </w:r>
    </w:p>
    <w:p w14:paraId="662A28F9">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9.新能源汽车电力电子技术</w:t>
      </w:r>
    </w:p>
    <w:p w14:paraId="24ABDE8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2E1273A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（1）知识目标：掌握电力电子器件（IGBT、MOSFET等）的工作原理与特性；理解新能源汽车中电力电子变换电路（整流、逆变、斩波）的功能；熟悉电机控制器、车载充电机等电力电子装置的结构与工作逻辑。</w:t>
      </w:r>
    </w:p>
    <w:p w14:paraId="38E8B2A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（2）能力目标：能分析简单的电力电子变换电路工作过程；能识别电力电子器件的常见故障（如击穿、过热）；能使用万用表、示波器等工具检测电力电子装置的基本参数。</w:t>
      </w:r>
    </w:p>
    <w:p w14:paraId="547DD7B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（3）素质目标：培养对电力电子技术的钻研精神；具备安全操作高压电力电子设备的意识，树立“技术严谨性”的职业理念。</w:t>
      </w:r>
    </w:p>
    <w:p w14:paraId="22C60B74">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210183D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电力电子器件（二极管、晶闸管、IGBT等）基础知识；（2）整流电路与逆变电路原理；（3）DC-DC斩波电路在新能源汽车中的应用；（4）电机控制器的电力电子拓扑结构；（5）车载充电机的电路原理；（6）电力电子装置的散热与保护设计。</w:t>
      </w:r>
    </w:p>
    <w:p w14:paraId="50742EB9">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0F421D3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（1）教师要求：具备电力电子技术理论基础，熟悉新能源汽车电力电子装置的设计与调试，能指导电路仿真与实验。</w:t>
      </w:r>
    </w:p>
    <w:p w14:paraId="094020B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（2）教学条件：多媒体课件、电力电子仿真软件（如PSpice）、电力电子实验台（含 IGBT模块、示波器等）。</w:t>
      </w:r>
    </w:p>
    <w:p w14:paraId="3A0FAA3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（3）教学方法：理论讲授与仿真结合、实验操作法（搭建简易逆变电路）、案例分析法（“电机控制器功率模块故障分析”）。</w:t>
      </w:r>
    </w:p>
    <w:p w14:paraId="2DA2C81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（4）考核评价：过程考核占70%（含电路仿真、实验报告）+综合考核占30%（理论笔试）。</w:t>
      </w:r>
    </w:p>
    <w:p w14:paraId="7FD2BB4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10.汽车机械制图</w:t>
      </w:r>
    </w:p>
    <w:p w14:paraId="3B670228">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20654236">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机械制图的基本规范（三视图、尺寸标注、公差与配合）；理解汽车零部件的表达方法（剖视图、断面图、局部放大图）；熟悉新能源汽车关键部件（如电机壳体、电池包框架）的制图特点。</w:t>
      </w:r>
    </w:p>
    <w:p w14:paraId="5E3002F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（2）能力目标：能读懂汽车零部件图纸（如齿轮、轴类零件），理解尺寸与技术要求；能绘制简单零部件的三视图；能使用 CAD 软件绘制汽车机械图形。</w:t>
      </w:r>
    </w:p>
    <w:p w14:paraId="316A525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（3）素质目标：培养空间想象能力和绘图规范性；具备根据图纸理解零部件结构的工程思维，树立“细节决定质量”的职业态度。</w:t>
      </w:r>
    </w:p>
    <w:p w14:paraId="7165A0E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6067C63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机械制图基础知识（投影原理、三视图）；（2）零件的表达方法（剖视图、断面图）；（3）尺寸标注与公差配合；（4）汽车标准件与常用件（螺栓、齿轮等）的画法；（5）新能源汽车典型零部件（电机、减速器）图纸识读；（6）CAD软件绘图基础。</w:t>
      </w:r>
    </w:p>
    <w:p w14:paraId="02EDEE86">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0409F56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（1）教师要求：精通机械制图标准，熟悉汽车零部件结构，能指导学生将图纸与实物对应。</w:t>
      </w:r>
    </w:p>
    <w:p w14:paraId="4C03C4D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（2）教学条件：多媒体课件（含制图规范示例）、绘图工具（圆规、直尺等）、CAD软件机房、汽车零部件实物与图纸对照展示。</w:t>
      </w:r>
    </w:p>
    <w:p w14:paraId="13EB705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（3）教学方法：直观演示法（三视图形成过程）、动手绘图法、软件实操法、分组互评法（图纸规范性评价）。</w:t>
      </w:r>
    </w:p>
    <w:p w14:paraId="1E78C97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（4）考核评价：过程考核占70%（含手绘图纸、CAD作业）+综合考核占30%（读图与绘图笔试）。</w:t>
      </w:r>
    </w:p>
    <w:p w14:paraId="7075DEE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11.汽车机械基础</w:t>
      </w:r>
    </w:p>
    <w:p w14:paraId="3F6AC79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5C259A6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机械工程材料的性能与应用（如钢材、铝合金在汽车中的使用）；理解机械传动（齿轮传动、链传动等）、轴系零件（轴、轴承）的工作原理；熟悉新能源汽车机械系统（如减速器、悬架）的力学特性。</w:t>
      </w:r>
    </w:p>
    <w:p w14:paraId="558EDB59">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（2）能力目标：能识别汽车常用机械零件并分析其受力状态；能简单计算齿轮传动比、轴的受力；能判断机械零件的常见失效形式（如磨损、断裂）。</w:t>
      </w:r>
    </w:p>
    <w:p w14:paraId="5CFAADD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（3）素质目标：培养机械工程思维和分析问题的能力；具备关注机械零件质量与寿命的职业意识。</w:t>
      </w:r>
    </w:p>
    <w:p w14:paraId="0CA68F88">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40E86F4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机械工程材料（金属材料、非金属材料）；（2）机械零件的受力分析与强度计算基础；（3）机械传动（齿轮传动、带传动、链传动）；（4）轴系零件（轴、轴承、联轴器）；（5）新能源汽车机械系统（减速器、转向机构）实例分析；（6）机械零件的润滑与维护。</w:t>
      </w:r>
    </w:p>
    <w:p w14:paraId="124B54F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50BC9433">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（1）教师要求：具备机械设计基础理论，熟悉汽车机械系统结构，能结合实例讲解力学原理。</w:t>
      </w:r>
    </w:p>
    <w:p w14:paraId="13EB345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（2）教学条件：多媒体课件（含力学仿真动画）、机械零件模型、汽车减速器等实物教具。</w:t>
      </w:r>
    </w:p>
    <w:p w14:paraId="00C7FE6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（3）教学方法：理论讲授与实物展示结合、案例分析法（“减速器齿轮磨损原因分析”）、小组讨论法（“新能源汽车轻量化材料选择”）。</w:t>
      </w:r>
    </w:p>
    <w:p w14:paraId="52FA3D4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（4）考核评价：过程考核占70%（含作业、课堂互动）+综合考核占30%（理论笔试）。</w:t>
      </w:r>
    </w:p>
    <w:p w14:paraId="2EF47D44">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12.C语言程序设计</w:t>
      </w:r>
    </w:p>
    <w:p w14:paraId="68EC496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课程目标：</w:t>
      </w:r>
    </w:p>
    <w:p w14:paraId="200C8C41">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（1）知识目标：掌握C语言的基本语法（变量、函数、循环、指针等）；理解程序设计的基本逻辑（顺序、分支、循环结构）；了解C 言在汽车电子控制（如ECU编程、传感器数据处理）中的应用场景。</w:t>
      </w:r>
    </w:p>
    <w:p w14:paraId="23D9A4B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（2）能力目标：能编写简单的C语言程序（如数据计算、逻辑判断）；能阅读汽车电子控制相关的简单程序代码；能使用编程软件（如Keil）进行程序调试。</w:t>
      </w:r>
    </w:p>
    <w:p w14:paraId="1BBB6CD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（3）素质目标：培养逻辑思维和编程规范意识；具备通过编程解决汽车电子控制简单问题的能力，树立“代码严谨性”的职业态度。</w:t>
      </w:r>
    </w:p>
    <w:p w14:paraId="458ECF85">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主要内容：</w:t>
      </w:r>
    </w:p>
    <w:p w14:paraId="3CE5C25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C语言基础（数据类型、运算符、表达式）；（2）程序控制结构（顺序、分支、循环）；（3）函数与数组；（4）指针与结构体；（5）C语言在汽车中的应用（如传感器数据采集程序示例）；（6）程序调试基础。</w:t>
      </w:r>
    </w:p>
    <w:p w14:paraId="5E02265A">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lang w:bidi="ar"/>
        </w:rPr>
        <w:t>教学要求：</w:t>
      </w:r>
    </w:p>
    <w:p w14:paraId="6D5F44A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（1）教师要求：精通C语言编程，了解汽车电子控制程序架构，能结合汽车场景设计编程案例。</w:t>
      </w:r>
    </w:p>
    <w:p w14:paraId="57C9D2D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（2）教学条件：多媒体课件、编程机房（安装 C 语言编译器）、简单的单片机实验板（用于程序验证）。</w:t>
      </w:r>
    </w:p>
    <w:p w14:paraId="5152669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（3）教学方法：案例教学法（“编写电池电压检测程序”）、上机实操法、任务驱动法（“设计简单的电机转速控制逻辑”）。</w:t>
      </w:r>
    </w:p>
    <w:p w14:paraId="5CC606BA">
      <w:pPr>
        <w:adjustRightInd w:val="0"/>
        <w:snapToGrid w:val="0"/>
        <w:spacing w:line="400" w:lineRule="exact"/>
        <w:ind w:firstLine="420" w:firstLineChars="200"/>
        <w:rPr>
          <w:rFonts w:ascii="宋体" w:hAnsi="宋体" w:eastAsia="宋体" w:cs="宋体"/>
          <w:szCs w:val="21"/>
          <w:lang w:bidi="ar"/>
        </w:rPr>
      </w:pPr>
      <w:r>
        <w:rPr>
          <w:rFonts w:hint="eastAsia" w:ascii="宋体" w:hAnsi="宋体" w:eastAsia="宋体" w:cs="宋体"/>
          <w:szCs w:val="21"/>
          <w:lang w:bidi="ar"/>
        </w:rPr>
        <w:t>（4）考核评价：过程考核占70%（含编程作业、上机实操）+综合考核占30%（程序设计笔试）。</w:t>
      </w:r>
    </w:p>
    <w:p w14:paraId="1D7559CA">
      <w:pPr>
        <w:adjustRightInd w:val="0"/>
        <w:snapToGrid w:val="0"/>
        <w:spacing w:line="400" w:lineRule="exact"/>
        <w:ind w:firstLine="420" w:firstLineChars="200"/>
        <w:rPr>
          <w:rFonts w:ascii="宋体" w:hAnsi="宋体" w:eastAsia="宋体" w:cs="宋体"/>
          <w:szCs w:val="21"/>
          <w:lang w:bidi="ar"/>
        </w:rPr>
      </w:pPr>
      <w:r>
        <w:rPr>
          <w:rFonts w:hint="eastAsia" w:ascii="宋体" w:hAnsi="宋体" w:eastAsia="宋体" w:cs="宋体"/>
          <w:szCs w:val="21"/>
          <w:lang w:bidi="ar"/>
        </w:rPr>
        <w:t>专业选修课程包含专业限选课程和专业任选课程两类，其中专业限选课程包含《汽车电气系统的检修》、《新能源汽车电气系统检测》、《电动汽车网络技术与电路分析》、《环境感知技术》、《先进驾驶辅助技术》5门课程，共计11学分。专业任选课程包含《新能源汽车使用与维护》、《新能源汽车高压安全与防护》、《汽车专业英语》、《汽车商务谈判》、《智能网联汽车概论》、《汽车维修企业管理》、《汽车安全与舒适系统检修》、《汽车单片机技术》、《汽车网络营销》、《电动汽车充电设施运营与维护》、《汽车保险与理赔》、《二手车鉴定与评估》、《汽车维修接待实务汽车》13门课程，学生需选够5学分，共计1</w:t>
      </w:r>
      <w:r>
        <w:rPr>
          <w:rFonts w:ascii="宋体" w:hAnsi="宋体" w:eastAsia="宋体" w:cs="宋体"/>
          <w:szCs w:val="21"/>
          <w:lang w:bidi="ar"/>
        </w:rPr>
        <w:t>6</w:t>
      </w:r>
      <w:r>
        <w:rPr>
          <w:rFonts w:hint="eastAsia" w:ascii="宋体" w:hAnsi="宋体" w:eastAsia="宋体" w:cs="宋体"/>
          <w:szCs w:val="21"/>
          <w:lang w:bidi="ar"/>
        </w:rPr>
        <w:t>学分。</w:t>
      </w:r>
    </w:p>
    <w:p w14:paraId="012DC9ED">
      <w:pPr>
        <w:adjustRightInd w:val="0"/>
        <w:snapToGrid w:val="0"/>
        <w:spacing w:line="400" w:lineRule="exact"/>
        <w:ind w:firstLine="422" w:firstLineChars="200"/>
        <w:rPr>
          <w:rFonts w:ascii="宋体" w:hAnsi="宋体" w:eastAsia="宋体" w:cs="宋体"/>
          <w:szCs w:val="21"/>
        </w:rPr>
      </w:pPr>
      <w:r>
        <w:rPr>
          <w:rFonts w:hint="eastAsia" w:ascii="宋体" w:hAnsi="宋体" w:eastAsia="宋体" w:cs="宋体"/>
          <w:b/>
          <w:bCs/>
          <w:szCs w:val="21"/>
          <w:lang w:bidi="ar"/>
        </w:rPr>
        <w:t>1.汽车电气系统的检修</w:t>
      </w:r>
    </w:p>
    <w:p w14:paraId="0AD7464E">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591FDB9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传统燃油车电气系统的组成（电源系统、启动系统、点火系统、照明信号系统等）及工作原理；理解各系统部件（如发电机、起动机、继电器）的结构与功能；熟悉电气系统常见故障类型（如漏电、断路）的成因。</w:t>
      </w:r>
    </w:p>
    <w:p w14:paraId="0CC3788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（2）能力目标：能使用万用表、试灯等工具检测电气元件性能；能诊断并排除启动系统、充电系统等常见故障；能规范拆装电气系统部件（如更换起动机、灯泡）。</w:t>
      </w:r>
    </w:p>
    <w:p w14:paraId="34740FB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（3）素质目标：培养规范操作电气设备的安全意识；具备团队协作解决复杂电气故障的能力，树立“预防为主”的维护理念。</w:t>
      </w:r>
    </w:p>
    <w:p w14:paraId="42D6FF13">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0F2A903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汽车电气系统基础（电路特点、安全操作）；（2）电源系统（蓄电池、发电机）的检修；（3）启动系统（起动机）的检修；（4）点火系统的检修；（5）照明、信号与辅助电气系统的检修；（6）电气系统综合故障诊断案例。</w:t>
      </w:r>
    </w:p>
    <w:p w14:paraId="116EA0F4">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5678E62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（1）教师要求：精通传统汽车电气系统原理，具备丰富的电气故障检修经验，能指导实操训练。</w:t>
      </w:r>
    </w:p>
    <w:p w14:paraId="211FAC83">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（2）教学条件：多媒体课件、汽车电气实训台架、万用表、示波器等检测工具、典型故障模拟设备。</w:t>
      </w:r>
    </w:p>
    <w:p w14:paraId="4229972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（3）教学方法：理实一体化教学、动手实操法（“起动机拆装与检测”）、案例分析法（“车辆无法启动故障排查”）。</w:t>
      </w:r>
    </w:p>
    <w:p w14:paraId="340DCA4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（4）考核评价：过程考核占70%（含实操检修、故障分析报告）+综合考核占30%（理论笔试）。</w:t>
      </w:r>
    </w:p>
    <w:p w14:paraId="4539D0CD">
      <w:pPr>
        <w:adjustRightInd w:val="0"/>
        <w:snapToGrid w:val="0"/>
        <w:spacing w:line="400" w:lineRule="exact"/>
        <w:ind w:firstLine="422" w:firstLineChars="200"/>
        <w:rPr>
          <w:rFonts w:ascii="宋体" w:hAnsi="宋体" w:eastAsia="宋体" w:cs="宋体"/>
          <w:szCs w:val="21"/>
        </w:rPr>
      </w:pPr>
      <w:r>
        <w:rPr>
          <w:rFonts w:hint="eastAsia" w:ascii="宋体" w:hAnsi="宋体" w:eastAsia="宋体" w:cs="宋体"/>
          <w:b/>
          <w:bCs/>
          <w:szCs w:val="21"/>
          <w:lang w:bidi="ar"/>
        </w:rPr>
        <w:t>2.新能源汽车电气系统检测</w:t>
      </w:r>
    </w:p>
    <w:p w14:paraId="11EAA3B4">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29D6266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新能源汽车电气系统的组成（低压辅助系统、高压动力系统、控制系统）及工作原理；理解高压电气系统的安全规范（绝缘检测、漏电保护）；熟悉新能源汽车电气系统与传统燃油车的差异（如高压配电盒、车载充电机）。</w:t>
      </w:r>
    </w:p>
    <w:p w14:paraId="38E43EC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（2）能力目标：能使用专用设备（高压绝缘测试仪、兆欧表）检测高压电路绝缘性能；能诊断低压辅助系统（如DC-DC转换器）的常见故障；能规范执行高压电气系统的断电与上电流程。</w:t>
      </w:r>
    </w:p>
    <w:p w14:paraId="4ECC0D9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（3）素质目标：强化高压安全操作意识和责任担当；具备严谨细致的检测态度，树立 “安全高于一切” 的职业理念。</w:t>
      </w:r>
    </w:p>
    <w:p w14:paraId="291EA7D3">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2B12938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新能源汽车电气系统概述（高压与低压划分）；（2）高压电气系统（电池包、高压线束、高压配电盒）的检测；（3）低压辅助系统（DC-DC转换器、低压蓄电池）的检测；（4）电气控制系统（CAN总线、控制器）的通讯检测；（5）高压安全操作规范与应急处理；（6）电气系统综合故障案例分析。</w:t>
      </w:r>
    </w:p>
    <w:p w14:paraId="520FF4F9">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4D2FC98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（1）教师要求：熟悉新能源汽车电气系统结构与安全标准，具备高压系统检测与故障诊断经验，持有高压电工操作证。</w:t>
      </w:r>
    </w:p>
    <w:p w14:paraId="1944A4F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（2）教学条件：多媒体课件、新能源汽车高压实训台架、高压绝缘测试仪、CAN总线分析仪、高压安全防护装备。</w:t>
      </w:r>
    </w:p>
    <w:p w14:paraId="077CA051">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（3）教学方法：安全演示法（高压断电流程）、实操训练法（“高压绝缘检测”）、情景模拟法（“漏电故障应急处理”）。</w:t>
      </w:r>
    </w:p>
    <w:p w14:paraId="7960CB41">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（4）考核评价：过程考核占70%（含高压操作规范性、故障检测实操）+综合考核占30%（理论笔试）。</w:t>
      </w:r>
    </w:p>
    <w:p w14:paraId="31DB817D">
      <w:pPr>
        <w:adjustRightInd w:val="0"/>
        <w:snapToGrid w:val="0"/>
        <w:spacing w:line="400" w:lineRule="exact"/>
        <w:ind w:firstLine="422" w:firstLineChars="200"/>
        <w:rPr>
          <w:rFonts w:ascii="宋体" w:hAnsi="宋体" w:eastAsia="宋体" w:cs="宋体"/>
          <w:szCs w:val="21"/>
        </w:rPr>
      </w:pPr>
      <w:r>
        <w:rPr>
          <w:rFonts w:hint="eastAsia" w:ascii="宋体" w:hAnsi="宋体" w:eastAsia="宋体" w:cs="宋体"/>
          <w:b/>
          <w:bCs/>
          <w:szCs w:val="21"/>
          <w:lang w:bidi="ar"/>
        </w:rPr>
        <w:t>3.电动汽车网络技术与电路分析</w:t>
      </w:r>
    </w:p>
    <w:p w14:paraId="48B684EF">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4FC444DF">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（1）知识目标：掌握电动汽车网络通信技术（CAN总线、LIN总线、Ethernet）的基本原理；理解网络拓扑结构与通信协议（如CAN 2.0、CAN FD）；熟悉电动汽车电路（高压电路、低压控制电路）的分析方法。</w:t>
      </w:r>
    </w:p>
    <w:p w14:paraId="05BFEDD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（2）能力目标：能使用CAN总线分析仪读取电动汽车网络数据；能分析网络通信故障（如总线断路、节点故障）；能结合网络数据与电路图定位电气系统故障。</w:t>
      </w:r>
    </w:p>
    <w:p w14:paraId="06EF335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（3）素质目标：培养系统思维和数据解读能力；具备规范分析网络与电路问题的职业素养，树立“协同诊断”的理念。</w:t>
      </w:r>
    </w:p>
    <w:p w14:paraId="24B5DF62">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4379D50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汽车网络技术基础（总线类型、通信原理）；（2）CAN总线在电动汽车中的应用（控制指令、状态信息传输）；（3）LIN总线与车身控制系统；（4）电动汽车高压电路拓扑与分析；（5）网络故障诊断方法（波形分析、数据解码）；（6）网络与电路协同故障案例（如“电机不工作的网络通信排查”）。</w:t>
      </w:r>
    </w:p>
    <w:p w14:paraId="228AB88C">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05BBE5E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（1）教师要求：精通汽车网络通信协议，熟悉电动汽车电路设计，能指导网络数据分析与电路仿真。</w:t>
      </w:r>
    </w:p>
    <w:p w14:paraId="231927D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（2）教学条件：多媒体课件、CAN总线分析仪、电路仿真软件、电动汽车网络实训台架。</w:t>
      </w:r>
    </w:p>
    <w:p w14:paraId="5071749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（3）教学方法：数据演示法（CAN总线波形分析）、实操分析法（“读取电池包状态数据”）、任务驱动法（“网络通信故障定位”）。</w:t>
      </w:r>
    </w:p>
    <w:p w14:paraId="7F7085F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（4）考核评价：过程考核占70%（含网络数据分析、电路仿真作业）+综合考核占30%（理论笔试）。</w:t>
      </w:r>
    </w:p>
    <w:p w14:paraId="18914206">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4.环境感知技术</w:t>
      </w:r>
    </w:p>
    <w:p w14:paraId="78AC6138">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1DA22F6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智能网联汽车环境感知技术的原理（传感器感知、数据融合）；理解常用传感器（摄像头、雷达、激光雷达）的工作特性与应用场景；熟悉环境感知系统在新能源汽车中的功能（如障碍物检测、车道识别）。</w:t>
      </w:r>
    </w:p>
    <w:p w14:paraId="3D5514A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（2）能力目标：能识别不同类型的环境感知传感器并了解其安装位置；能分析传感器常见故障（如摄像头遮挡、雷达误报）的影响；能通过传感器数据简单判断环境感知系统状态。</w:t>
      </w:r>
    </w:p>
    <w:p w14:paraId="20288C2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（3）素质目标：培养对智能网联技术的兴趣和探索精神；具备关注技术细节的职业意识，树立“安全优先”的智能驾驶理念。</w:t>
      </w:r>
    </w:p>
    <w:p w14:paraId="742B17FC">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16B8D7D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环境感知技术概述（智能驾驶中的作用）；（2）视觉传感器（摄像头）的原理与应用；（3）毫米波雷达与激光雷达的原理与特性；（4）传感器数据融合技术基础；（5）环境感知系统的校准与维护；（6）典型环境感知故障案例（如 “车道偏离预警失效分析”）。</w:t>
      </w:r>
    </w:p>
    <w:p w14:paraId="1AE7AEC0">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2C256B1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（1）教师要求：熟悉智能网联汽车感知技术，了解主流传感器原理与调试方法，能结合实车案例讲解。</w:t>
      </w:r>
    </w:p>
    <w:p w14:paraId="6AFC7519">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（2）教学条件：多媒体课件（含传感器工作动画）、环境感知传感器实物（摄像头、雷达）、智能驾驶仿真平台。</w:t>
      </w:r>
    </w:p>
    <w:p w14:paraId="1948150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（3）教学方法：案例分析法（“特斯拉Autopilot感知系统解析”）、实物演示法（传感器安装位置与功能）、小组讨论法（“不同传感器的优缺点对比”）。</w:t>
      </w:r>
    </w:p>
    <w:p w14:paraId="541E1153">
      <w:pPr>
        <w:adjustRightInd w:val="0"/>
        <w:snapToGrid w:val="0"/>
        <w:spacing w:line="400" w:lineRule="exact"/>
        <w:ind w:firstLine="420" w:firstLineChars="200"/>
        <w:rPr>
          <w:rFonts w:ascii="宋体" w:hAnsi="宋体" w:eastAsia="宋体" w:cs="宋体"/>
          <w:b/>
          <w:bCs/>
          <w:szCs w:val="21"/>
        </w:rPr>
      </w:pPr>
      <w:r>
        <w:rPr>
          <w:rFonts w:hint="eastAsia" w:ascii="宋体" w:hAnsi="宋体" w:eastAsia="宋体" w:cs="宋体"/>
          <w:szCs w:val="21"/>
          <w:lang w:bidi="ar"/>
        </w:rPr>
        <w:t>（4）考核评价：过程考核占70%（含传感器识别作业、案例分析）+综合考核占30%（理论笔试）。</w:t>
      </w:r>
    </w:p>
    <w:p w14:paraId="44CEC0B5">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5.先进驾驶辅助技术</w:t>
      </w:r>
    </w:p>
    <w:p w14:paraId="46B66644">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721B7BA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（1）知识目标：掌握先进驾驶辅助系统（ADAS）的核心功能（如ACC自适应巡航、AEB自动紧急制动、LKA车道保持）；理解各功能的工作原理与控制逻辑；熟悉ADAS在新能源汽车中的集成应用（与动力系统协同控制）。</w:t>
      </w:r>
    </w:p>
    <w:p w14:paraId="7DA6220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（2）能力目标：能操作新能源汽车的ADAS功能并判断其工作状态；能识别ADAS常见故障（如功能失效、误触发）的现象；能协助进行ADAS系统的基础校准（如摄像头标定）。</w:t>
      </w:r>
    </w:p>
    <w:p w14:paraId="4A14EA9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（3）素质目标：培养对智能驾驶技术的认知和安全敬畏心；具备学习新技术的主动性，树立“人机协同”的驾驶理念。</w:t>
      </w:r>
    </w:p>
    <w:p w14:paraId="1011FEB9">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36AB758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（1）ADAS技术概述（分级与发展）；（2）主动安全功能（AEB、FCW 前向碰撞预警）；（3）舒适辅助功能（ACC、LKA）；（4）ADAS与车辆控制系统的协同（制动、转向、动力）；（5）ADAS系统的校准与维护；（6）ADAS故障诊断基础（故障码解读、功能测试）。</w:t>
      </w:r>
    </w:p>
    <w:p w14:paraId="3DE095C9">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5D39B64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（1）教师要求：熟悉ADAS功能原理与测试标准，具备ADAS系统调试经验，能结合实车演示讲解。</w:t>
      </w:r>
    </w:p>
    <w:p w14:paraId="6A3ACCAA">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（2）教学条件：多媒体课件（含功能演示视频）、配备ADAS的新能源汽车、ADAS校准设备（如标定板）。</w:t>
      </w:r>
    </w:p>
    <w:p w14:paraId="3F29510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（3）教学方法：实车演示法（“ACC功能操作与状态观察”）、案例分析法（“AEB误触发原因分析”）、情景模拟法（“ADAS失效时的应急处理”）。</w:t>
      </w:r>
    </w:p>
    <w:p w14:paraId="07570933">
      <w:pPr>
        <w:adjustRightInd w:val="0"/>
        <w:snapToGrid w:val="0"/>
        <w:spacing w:line="400" w:lineRule="exact"/>
        <w:ind w:firstLine="420" w:firstLineChars="200"/>
        <w:rPr>
          <w:rFonts w:ascii="宋体" w:hAnsi="宋体" w:eastAsia="宋体" w:cs="宋体"/>
          <w:szCs w:val="21"/>
          <w:lang w:bidi="ar"/>
        </w:rPr>
      </w:pPr>
      <w:r>
        <w:rPr>
          <w:rFonts w:hint="eastAsia" w:ascii="宋体" w:hAnsi="宋体" w:eastAsia="宋体" w:cs="宋体"/>
          <w:szCs w:val="21"/>
          <w:lang w:bidi="ar"/>
        </w:rPr>
        <w:t>（4）考核评价：过程考核占70%（含功能操作、案例分析报告）+综合考核占30%（理论笔试）。</w:t>
      </w:r>
    </w:p>
    <w:p w14:paraId="00ACEAE5">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rPr>
        <w:t>6.新能源汽车使用与维护</w:t>
      </w:r>
    </w:p>
    <w:p w14:paraId="340BC0D6">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0F36147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全面掌握新能源汽车（纯电动、混合动力）的正确使用流程（充电操作、启动与行驶规范、停放安全）；熟练掌握日常维护核心项目（三电系统外观检查、低压蓄电池维护、轮胎气压检测、制动系统常规检查）；清晰分辨新能源汽车与传统燃油车在使用操作、维护周期、故障预警上的差异与联系。</w:t>
      </w:r>
    </w:p>
    <w:p w14:paraId="3FE8D80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独立完成新能源汽车日常充电（含快充/慢充操作）与基础维护作业；能通过仪表盘提示、车辆故障灯，初步判断使用过程中的常见问题（如充电中断、低压电不足）；能正确使用万用表、胎压计等工具完成维护检测。</w:t>
      </w:r>
    </w:p>
    <w:p w14:paraId="78E735B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（3）素质目标：具备对新能源汽车使用安全的敬畏意识；养成“预防为主”的维护习惯；具有团队协作完成复杂维护任务的能力，树立保障车主出行安全的职业道德。</w:t>
      </w:r>
    </w:p>
    <w:p w14:paraId="2BC2B7B1">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20C15C7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新能源汽车使用基础（车型分类、钥匙操作、仪表盘解读、充电接口识别）；（2）新能源汽车正确使用流程（充电前检查、行驶中注意事项、长期停放维护）；（3）日常维护项目实操（三电系统线束检查、低压蓄电池电量检测、制动液/冷却液检查）；（4）常见使用问题处理（充电故障排查、续航里程异常分析）；（5）新能源汽车维护周期与规范（与燃油车维护差异对比）。</w:t>
      </w:r>
    </w:p>
    <w:p w14:paraId="2700F9C6">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35DAE90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（1）教师要求：熟悉主流新能源汽车（比亚迪、特斯拉等）的使用逻辑与维护标准，具备 3 年以上新能源汽车维护实战经验，能指导学生解决实操中的突发问题。</w:t>
      </w:r>
    </w:p>
    <w:p w14:paraId="025FA76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（2）教学条件：多媒体课件（含操作视频）；新能源汽车实车或实训台架（配备充电设备）；维护工具（万用表、胎压计、绝缘手套）；虚拟仿真软件（模拟充电故障场景）。</w:t>
      </w:r>
    </w:p>
    <w:p w14:paraId="1C73807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（3）教学方法：任务驱动法（如“完成某纯电动车快充操作”）、现场教学法（实车演示维护步骤）、分组实操法、案例分析法（常见使用问题案例）。</w:t>
      </w:r>
    </w:p>
    <w:p w14:paraId="5E4EEF7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（4）考核评价：过程考核占70%（含实操作业、维护流程规范性、课堂互动）+综合考核占30%（理论笔试）。</w:t>
      </w:r>
    </w:p>
    <w:p w14:paraId="1353B000">
      <w:pPr>
        <w:adjustRightInd w:val="0"/>
        <w:snapToGrid w:val="0"/>
        <w:spacing w:line="400" w:lineRule="exact"/>
        <w:ind w:firstLine="422" w:firstLineChars="200"/>
        <w:rPr>
          <w:rFonts w:ascii="宋体" w:hAnsi="宋体" w:eastAsia="宋体" w:cs="宋体"/>
          <w:b/>
          <w:szCs w:val="21"/>
        </w:rPr>
      </w:pPr>
      <w:r>
        <w:rPr>
          <w:rFonts w:ascii="宋体" w:hAnsi="宋体" w:eastAsia="宋体" w:cs="宋体"/>
          <w:b/>
          <w:szCs w:val="21"/>
        </w:rPr>
        <w:t>7</w:t>
      </w:r>
      <w:r>
        <w:rPr>
          <w:rFonts w:hint="eastAsia" w:ascii="宋体" w:hAnsi="宋体" w:eastAsia="宋体" w:cs="宋体"/>
          <w:b/>
          <w:szCs w:val="21"/>
        </w:rPr>
        <w:t>.新能源汽车高压安全与防护</w:t>
      </w:r>
    </w:p>
    <w:p w14:paraId="3D816B99">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612FA56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熟练掌握新能源汽车高压系统组成（高压电池包、驱动电机、高压配电盒、充电系统）；清晰理解高压安全核心规范（绝缘检测标准、断电流程、防护等级要求）；掌握高压安全防护设备（绝缘手套、绝缘鞋、高压验电器）的使用原理与适用场景。</w:t>
      </w:r>
    </w:p>
    <w:p w14:paraId="0A52ADA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按照规范完成新能源汽车高压系统断电与上电操作；能使用高压绝缘测试仪检测高压电路绝缘性能；能正确穿戴防护装备处理高压系统轻微故障（如高压线束松动）；能制定高压系统应急处理方案（如漏电、高压部件起火）。</w:t>
      </w:r>
    </w:p>
    <w:p w14:paraId="44321BD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（3）素质目标：树立“安全第一”的职业意识，严格遵守高压操作规范；具备对自身及他人安全负责的社会责任感；养成严谨细致的操作习惯，杜绝违规操作。</w:t>
      </w:r>
    </w:p>
    <w:p w14:paraId="2E531FDA">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1C90A18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新能源汽车高压系统认知（组成部件、电压等级、安全标识）；（2）高压安全防护基础（绝缘原理、漏电保护机制、安全操作“五步法”）；（3）高压防护设备使用（绝缘手套/鞋检测、高压验电器操作、绝缘扳手使用）；（4）高压系统安全操作（断电流程、部件拆装防护、绝缘检测实操）；（5）高压应急处理（漏电报警处置、起火扑救、人员触电急救）。</w:t>
      </w:r>
    </w:p>
    <w:p w14:paraId="58E7E103">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13FF9FB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（1）教师要求：持有低压电工操作证及新能源汽车高压操作资质，具备高压系统维修经验，能精准演示安全操作流程并讲解风险点。</w:t>
      </w:r>
    </w:p>
    <w:p w14:paraId="655D467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（2）教学条件：高压系统实训台架（带故障模拟功能）；全套高压防护装备（绝缘手套、鞋、验电器等）；高压绝缘测试仪、万用表；应急处理模拟场景（如模拟漏电报警装置）。</w:t>
      </w:r>
    </w:p>
    <w:p w14:paraId="418EF6C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（3）教学方法：现场演示法（高压断电实操演示）、分组实操法（防护设备使用+绝缘检测）、情景模拟法（高压故障应急演练）、案例分析法（高压安全事故案例）。</w:t>
      </w:r>
    </w:p>
    <w:p w14:paraId="6213C0D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（4）考核评价：过程考核占70%（含实操规范性、防护设备使用正确性、应急方案制定）+综合考核占30%（理论笔试）。</w:t>
      </w:r>
    </w:p>
    <w:p w14:paraId="12BEA069">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8.汽车专业英语</w:t>
      </w:r>
    </w:p>
    <w:p w14:paraId="718FE4C8">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7501554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汽车核心领域专业词汇（新能源三电系统、维修工具、故障代码、技术文档术语）；理解英文技术文档（维修手册、设备说明书、零部件参数表）的结构与表达逻辑；熟悉汽车行业常用英文表达（如车型配置、维修报告、客户沟通用语）。</w:t>
      </w:r>
    </w:p>
    <w:p w14:paraId="311368E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独立阅读新能源汽车英文维修手册（如电池管理系统故障排查章节）；能准确翻译汽车零部件英文参数（如电机功率、电池容量）；能进行简单的汽车专业英文交流（如向外籍客户说明维修方案、与国外供应商沟通零部件信息）。</w:t>
      </w:r>
    </w:p>
    <w:p w14:paraId="59B4F26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（3）素质目标：具备跨文化沟通意识，尊重国际汽车行业技术标准；养成自主查阅英文技术资料的学习习惯，拓宽国际技术视野；树立严谨的翻译态度，避免因术语误读导致技术偏差。</w:t>
      </w:r>
    </w:p>
    <w:p w14:paraId="6006BD8E">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4C784CF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汽车专业基础词汇（车身、底盘、电气系统核心词汇，新能源三电系统专项词汇）；（2）英文技术文档阅读（维修手册结构、故障代码解读、零部件说明书）；（3）汽车专业英文写作（维修记录、零部件采购清单、简单技术报告）；（4）汽车专业英语口语（客户接待、技术交流、维修方案说明）；（5）行业英文案例分析（国际汽车品牌技术文档、新能源汽车英文技术公告）。</w:t>
      </w:r>
    </w:p>
    <w:p w14:paraId="722E8C29">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1DF3953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（1）教师要求：具备汽车专业背景与扎实的英文能力（CET-4及以上或同等水平），熟悉汽车英文技术文档编写规范，能结合行业案例讲解词汇与语法。</w:t>
      </w:r>
    </w:p>
    <w:p w14:paraId="337392A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（2）教学条件：多媒体课件（含英文技术文档样本、词汇表）；汽车英文维修手册（如特斯拉、比亚迪海外版手册）；听力设备（用于英文技术视频学习）；线上学习平台（发布英文作业与资料）。</w:t>
      </w:r>
    </w:p>
    <w:p w14:paraId="3FDF60D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（3）教学方法：案例教学法（分析英文维修手册片段）、任务驱动法（“翻译某电机说明书参数”）、小组讨论法（英文技术问题交流）、情景模拟法（外籍客户接待演练）。</w:t>
      </w:r>
    </w:p>
    <w:p w14:paraId="39E43F2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（4）考核评价：过程考核占70%（含词汇作业、文档翻译、口语互动）+综合考核占30%（理论笔试）。</w:t>
      </w:r>
    </w:p>
    <w:p w14:paraId="040DC6DC">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9.汽车商务谈判</w:t>
      </w:r>
    </w:p>
    <w:p w14:paraId="6C1B775D">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40E56D0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商务谈判的基本流程（准备、开局、磋商、成交、履约）与核心技巧（报价策略、让步策略、争议处理）；熟悉汽车行业商务场景（新车销售、二手车交易、维修服务合同、零部件采购）的谈判要点；理解汽车商务谈判中的法律条款（合同权责、售后保障、违约责任）与行业惯例。</w:t>
      </w:r>
    </w:p>
    <w:p w14:paraId="520CEA7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针对汽车销售/维修场景制定谈判方案（如新车价格谈判、维修费用争议处理）；能准确识别谈判对手需求（客户预算、企业成本）并调整策略；能起草简单的汽车商务谈判纪要与合同条款；能处理谈判中的突发问题（如客户临时变更需求、价格分歧）。</w:t>
      </w:r>
    </w:p>
    <w:p w14:paraId="7596842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（3）素质目标：具备诚信谈判的职业操守，杜绝虚假承诺；养成换位思考的沟通习惯，平衡客户与企业利益；具有团队协作谈判的能力，能分工完成复杂谈判项目（如大宗车辆采购）。</w:t>
      </w:r>
    </w:p>
    <w:p w14:paraId="3F1AEE95">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5DD8604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商务谈判基础（流程、原则、沟通技巧、心理学应用）；（2）汽车销售谈判（新车报价、配置升级、金融方案、售后保障谈判）；（3）汽车维修与服务谈判（维修费用争议、保养套餐推销、事故车维修方案协商）；（4）二手车交易谈判（车况核验、价格评估、过户流程、售后承诺谈判）；（5）汽车商务合同与法律风险（条款解读、权责划分、争议解决方式）。</w:t>
      </w:r>
    </w:p>
    <w:p w14:paraId="3565F944">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59C131E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（1）教师要求：具备汽车商务相关经验（如汽车销售管理、售后运营），接受过专业商务谈判培训，能结合实际案例拆解谈判技巧。</w:t>
      </w:r>
    </w:p>
    <w:p w14:paraId="4C468AE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（2）教学条件：多媒体课件（含谈判案例视频、合同样本）；模拟谈判场景（销售展厅模拟区、维修接待台）；谈判道具（汽车配置表、价格单、合同模板）；线上讨论平台（发布谈判任务与案例）。</w:t>
      </w:r>
    </w:p>
    <w:p w14:paraId="45344B0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（3）教学方法：角色扮演法（“销售顾问vs客户”、“维修接待vs车主”模拟谈判）、案例分析法（汽车行业经典谈判案例）、小组竞赛法（分组完成谈判任务并评比）、复盘总结法（谈判后梳理得失）。</w:t>
      </w:r>
    </w:p>
    <w:p w14:paraId="266DF16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（4）考核评价：过程考核占70%（含谈判方案设计、模拟谈判表现、小组协作）+综合考核占30%（理论笔试）。</w:t>
      </w:r>
    </w:p>
    <w:p w14:paraId="3A899D55">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10.智能网联汽车概论</w:t>
      </w:r>
    </w:p>
    <w:p w14:paraId="04B1C493">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5ED2B87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（1）知识目标：掌握智能网联汽车的核心技术体系（环境感知、决策规划、控制执行、车联网V2X）；理解智能驾驶分级（L0-L5）的定义与典型功能（ADAS：ACC自适应巡航、AEB 自动紧急制动、LKA 车道保持）；了解智能网联汽车的发展趋势（如自动驾驶商业化、车路协同应用、数据安全规范）。</w:t>
      </w:r>
    </w:p>
    <w:p w14:paraId="04C3EA7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（2）能力目标：能识别智能网联汽车的核心部件（摄像头、毫米波雷达、激光雷达、域控制器）；能简单分析ADAS功能的工作逻辑（如ACC 如何实现跟车距离控制）；能查阅智能网联汽车技术文档，梳理某一功能（如自动泊车）的技术要点；能初步判断ADAS功能的常见故障现象（如LKA功能失效）。</w:t>
      </w:r>
    </w:p>
    <w:p w14:paraId="5AFC3C3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（3）素质目标：具备对智能网联技术的探索热情，关注行业前沿动态；树立“人机协同”的智能驾驶安全意识，理解技术局限性；培养跨学科思维（融合汽车、电子、计算机知识），适应技术融合发展需求。</w:t>
      </w:r>
    </w:p>
    <w:p w14:paraId="1EA550B2">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3B29FF4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智能网联汽车基础（定义、发展历程、智能驾驶分级）；（2）环境感知技术（摄像头、毫米波雷达、激光雷达、超声波雷达的原理与应用）；（3）智能决策与控制（路径规划、行为决策、车辆控制算法基础）；（4）车联网技术（V2X：车与车、车与路、车与人通信原理与应用场景）；（5）ADAS功能解析（ACC、AEB、LKA、自动泊车等功能演示与原理）；（6）智能网联汽车安全与法规（数据安全、功能安全、行业政策）。</w:t>
      </w:r>
    </w:p>
    <w:p w14:paraId="307644B8">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3839DFA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（1）教师要求：具备智能网联汽车相关研究或实践经验，熟悉ADAS功能原理，能解读行业技术标准（如ISO智能驾驶分级），能结合实车或仿真演示技术应用。</w:t>
      </w:r>
    </w:p>
    <w:p w14:paraId="6A62D52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多媒体课件（含智能驾驶演示视频、技术原理图）；智能网联汽车仿真平台（如VTD、Prescan）；ADAS功能演示车或实训台（带ACC、AEB功能）；行业报告与技术文档（如特斯拉Autopilot、华为ADS技术资料）。</w:t>
      </w:r>
    </w:p>
    <w:p w14:paraId="7886098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（3）教学方法：案例分析法（智能驾驶事故案例、技术突破案例）、现场演示法（ADAS 功能实车操作）、小组讨论法（“智能驾驶商业化难点”讨论）、自主学习法（查阅行业前沿报告）。</w:t>
      </w:r>
    </w:p>
    <w:p w14:paraId="7D8CE15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（4）考核评价：过程考核占70%（含技术文档解读、小组报告、课堂互动）+综合考核占30%（理论笔试）。</w:t>
      </w:r>
    </w:p>
    <w:p w14:paraId="7FC4BD25">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11.汽车维修企业管理</w:t>
      </w:r>
    </w:p>
    <w:p w14:paraId="7860924A">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10B5802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汽车维修企业的基本运营模式（4S店、连锁维修、综合修理厂）；理解企业管理的核心模块（人员管理、客户管理、成本控制、质量管理）；熟悉新能源汽车维修企业的特殊要求（高压安全管理、设备配置）。</w:t>
      </w:r>
    </w:p>
    <w:p w14:paraId="65392B2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（2）能力目标：能协助制定维修车间的作业流程；能进行简单的客户关系维护与满意度调查；能分析维修企业的基础运营数据（如客单价、返修率）。</w:t>
      </w:r>
    </w:p>
    <w:p w14:paraId="7C5620B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（3）素质目标：培养企业管理思维和团队协作能力；具备服务意识和成本意识，树立 “以客户为中心”的管理理念。</w:t>
      </w:r>
    </w:p>
    <w:p w14:paraId="67F5AF83">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7C480B4C">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汽车维修企业概述（类型、组织架构）；（2）维修车间管理（作业流程、设备管理、安全生产）；（3）客户关系管理（接待流程、投诉处理）；（4）人力资源管理（团队建设、绩效考核）；（5）新能源汽车维修企业专项管理（高压安全培训、专用设备维护）；（6）企业运营数据分析基础。</w:t>
      </w:r>
    </w:p>
    <w:p w14:paraId="2983EC3D">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7C9A768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（1）教师要求：具备汽车维修企业管理经验，熟悉行业运营模式，能结合案例解析管理逻辑。</w:t>
      </w:r>
    </w:p>
    <w:p w14:paraId="5049F9C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（2）教学条件：多媒体课件（含企业管理案例）、模拟维修车间、客户管理软件（CRM）实训系统。</w:t>
      </w:r>
    </w:p>
    <w:p w14:paraId="2817832D">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（3）教学方法：案例分析法（“某4S店客户满意度提升方案”）、角色扮演法（“维修车间主管调度模拟”）、小组项目法（“制定小型维修企业运营计划”）。</w:t>
      </w:r>
    </w:p>
    <w:p w14:paraId="6D86A932">
      <w:pPr>
        <w:pStyle w:val="2"/>
        <w:spacing w:before="0" w:after="0" w:line="400" w:lineRule="exact"/>
        <w:ind w:firstLine="420"/>
      </w:pPr>
      <w:r>
        <w:rPr>
          <w:rFonts w:hint="eastAsia" w:ascii="宋体" w:hAnsi="宋体" w:eastAsia="宋体" w:cs="宋体"/>
          <w:szCs w:val="21"/>
          <w:lang w:bidi="ar"/>
        </w:rPr>
        <w:t>（4）考核评价：过程考核占70%（含管理方案设计、案例分析）+综合考核占30%（理论笔试）。</w:t>
      </w:r>
    </w:p>
    <w:p w14:paraId="51B33448">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12.汽车安全与舒适系统检修</w:t>
      </w:r>
    </w:p>
    <w:p w14:paraId="16395AEA">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0BA8147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汽车安全系统（主动安全：ABS防抱死、ESP车身稳定；被动安全：安全气囊、安全带）的构造与工作原理；熟悉汽车舒适系统（空调、电动座椅、电动车窗、定速巡航）的组成与控制逻辑；理解安全与舒适系统的故障类型（如ABS报警、空调不制冷、安全气囊无法触发）与排查思路。</w:t>
      </w:r>
    </w:p>
    <w:p w14:paraId="60055FE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使用诊断仪读取安全与舒适系统故障码（如ABS传感器故障、空调压力传感器故障）；能拆解与检修常见部件（如ABS泵、空调滤芯、电动座椅电机）；能独立完成安全系统基础标定（如ABS排气、安全气囊复位）；能排查舒适系统简单故障（如电动车窗升降失灵、空调出风异常）。</w:t>
      </w:r>
    </w:p>
    <w:p w14:paraId="606EFDA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对汽车安全系统的敬畏意识，严格按照规范检修（如安全气囊拆装前断电）；养成细致入微的检修习惯，避免因小故障遗漏导致安全隐患；具有对车主负责的职业道德，确保检修后系统功能正常。</w:t>
      </w:r>
    </w:p>
    <w:p w14:paraId="6A78CD35">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4578A1D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汽车主动安全系统检修（ABS系统构造与故障排查、ESP系统原理与检修、ADAS基础功能（如胎压监测）检修）；（2）汽车被动安全系统检修（安全气囊系统组成、安全带构造、安全气囊拆装与故障复位）；（3）汽车空调系统检修（制冷/制热原理、空调滤芯更换、制冷剂加注、空调不制冷故障排查）；（4）汽车舒适辅助系统检修（电动座椅/车窗/天窗控制、定速巡航功能、座椅加热/通风系统检修）；（5）安全与舒适系统综合故障案例分析（如“ABS报警+ESP灯亮”联合排查）。</w:t>
      </w:r>
    </w:p>
    <w:p w14:paraId="3D2BE6E8">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5438386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（1）教师要求：熟悉主流车型安全与舒适系统构造，具备汽车电气检修经验，能独立解决复杂故障（如空调系统泄漏、安全气囊误触发），掌握诊断仪使用技巧。</w:t>
      </w:r>
    </w:p>
    <w:p w14:paraId="173633F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（2）教学条件：安全与舒适系统实训台架（ABS、安全气囊、空调实训台）；汽车诊断仪（元征X431、道通 MS908）；拆装工具（专用扳手、诊断接头）；故障模拟设备（可模拟传感器故障）。</w:t>
      </w:r>
    </w:p>
    <w:p w14:paraId="432CD34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（3）教学方法：理实一体化教学、动手实践法（部件拆装与检修）、案例教学法（综合故障分析）、任务驱动法（“排查空调不制冷故障”）。</w:t>
      </w:r>
    </w:p>
    <w:p w14:paraId="252BA69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（4）考核评价：过程考核占70%（含实操检修、故障分析报告、工具使用规范性）+综合考核占30%（理论笔试）。</w:t>
      </w:r>
    </w:p>
    <w:p w14:paraId="3DD215A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13.汽车单片机技术</w:t>
      </w:r>
    </w:p>
    <w:p w14:paraId="51B02304">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186FDFF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单片机（如51系列、STM32）的基本结构（CPU、存储器、I/O口、定时器）与工作原理；理解汽车单片机控制系统的组成（传感器、单片机、执行器）；熟悉单片机在汽车中的应用（如灯光控制、雨刮器控制、车窗升降控制、发动机怠速控制）；掌握单片机编程基础（C语言编程、汇编语言基础）与调试方法。</w:t>
      </w:r>
    </w:p>
    <w:p w14:paraId="770A799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使用单片机开发板（如STM32开发板）完成简单程序编写（如LED灯闪烁、按键控制）；能分析汽车单片机控制电路（如电动车窗控制电路）的逻辑关系；能使用示波器、万用表检测单片机I/O口信号；能初步排查汽车单片机控制系统的简单故障（如传感器信号异常导致的功能失效）。</w:t>
      </w:r>
    </w:p>
    <w:p w14:paraId="2B1D0E8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（3）素质目标：培养逻辑思维与编程创新能力，能结合汽车场景设计简单控制程序；养成严谨的调试习惯，避免因程序漏洞导致设备损坏；具备跨学科学习能力，融合电子、编程与汽车知识。</w:t>
      </w:r>
    </w:p>
    <w:p w14:paraId="5BCDF765">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6EF52C6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（1）单片机基础（结构、工作原理、时钟电路、复位电路）；（2）单片机编程基础（C 语言语法、汇编语言基础、Keil开发环境使用）；（3）单片机I/O口与外设（定时器、中断系统、ADC模数转换）应用；（4）汽车单片机控制实例（灯光自动控制、雨刮器无级调速、电动座椅位置记忆）；（5）汽车单片机系统故障排查（传感器信号检测、执行器驱动电路检修、程序调试）。</w:t>
      </w:r>
    </w:p>
    <w:p w14:paraId="2F6263D5">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66D8799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（1）教师要求：具备电子信息工程或汽车电子专业背景，熟练掌握单片机编程与调试，有汽车电子控制系统开发或检修经验，能指导学生完成编程与硬件实操。</w:t>
      </w:r>
    </w:p>
    <w:p w14:paraId="6D5DB6B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（2）教学条件：单片机开发板（51系列、STM32系列）；编程软件（Keil、Proteus仿真软件）；检测工具（示波器、万用表、逻辑分析仪）；汽车单片机控制实训台（如车窗控制、灯光控制实训台）。</w:t>
      </w:r>
    </w:p>
    <w:p w14:paraId="04BCD2B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（3）教学方法：项目驱动法（“设计汽车自动灯光控制程序”）、软件仿真法（Proteus模拟单片机控制逻辑）、动手实操法（开发板编程与调试）、案例分析法（汽车单片机故障案例）。</w:t>
      </w:r>
    </w:p>
    <w:p w14:paraId="3A0DD71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（4）考核评价：过程考核占70%（含编程作业、开发板实操、故障排查报告）+综合考核占30%（理论笔试）。</w:t>
      </w:r>
    </w:p>
    <w:p w14:paraId="6A32A63B">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14.汽车网络营销</w:t>
      </w:r>
    </w:p>
    <w:p w14:paraId="3BC9A60B">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3FF9896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汽车网络营销的核心渠道（短视频平台：抖音/快手；直播平台：抖音直播/淘宝直播；社交平台：微信公众号/小红书；垂直平台：汽车之家/懂车帝）；理解汽车网络营销的内容逻辑（产品卖点提炼、用户画像分析、内容创作技巧）；熟悉汽车网络营销的运营策略（流量获取、粉丝运营、转化路径设计、数据分析）。</w:t>
      </w:r>
    </w:p>
    <w:p w14:paraId="2082116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针对某一车型（如新能源SUV）制定网络营销方案（确定渠道、设计内容、规划直播脚本）；能创作汽车营销内容（短视频脚本、图文测评、直播话术）；能使用数据分析工具（抖音创作者中心、微信公众号后台）分析营销效果（播放量、转化率、粉丝增长）；能处理网络营销中的客户咨询与异议（如价格疑问、车型对比）。</w:t>
      </w:r>
    </w:p>
    <w:p w14:paraId="3C9A797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（3）素质目标：具备互联网营销的创新意识，能结合热点设计内容；养成以用户需求为中心的营销思维，避免过度营销；具有数据驱动的决策意识，能根据数据优化营销方案。</w:t>
      </w:r>
    </w:p>
    <w:p w14:paraId="53FFFCB8">
      <w:pPr>
        <w:adjustRightInd w:val="0"/>
        <w:snapToGrid w:val="0"/>
        <w:spacing w:line="400" w:lineRule="exact"/>
        <w:ind w:firstLine="422" w:firstLineChars="200"/>
        <w:rPr>
          <w:rFonts w:hint="eastAsia" w:ascii="宋体" w:hAnsi="宋体" w:eastAsia="宋体" w:cs="宋体"/>
          <w:b/>
          <w:bCs w:val="0"/>
          <w:szCs w:val="21"/>
          <w:lang w:eastAsia="zh-CN"/>
        </w:rPr>
      </w:pPr>
      <w:r>
        <w:rPr>
          <w:rFonts w:hint="eastAsia" w:ascii="宋体" w:hAnsi="宋体" w:eastAsia="宋体" w:cs="宋体"/>
          <w:b/>
          <w:bCs w:val="0"/>
          <w:szCs w:val="21"/>
        </w:rPr>
        <w:t>主要内容</w:t>
      </w:r>
      <w:r>
        <w:rPr>
          <w:rFonts w:hint="eastAsia" w:ascii="宋体" w:hAnsi="宋体" w:eastAsia="宋体" w:cs="宋体"/>
          <w:b/>
          <w:bCs w:val="0"/>
          <w:szCs w:val="21"/>
          <w:lang w:eastAsia="zh-CN"/>
        </w:rPr>
        <w:t>：</w:t>
      </w:r>
    </w:p>
    <w:p w14:paraId="73EF6AE6">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汽车网络营销基础（渠道分类、行业趋势、用户画像）；（2）短视频营销（脚本设计、拍摄剪辑、热点结合、车型卖点呈现）；（3）汽车直播营销（直播脚本、互动技巧、车型演示、促单策略）；（4）社交与垂直平台运营（公众号图文创作、小红书测评、汽车之家论坛运营）；（5）营销数据分析（流量指标、转化指标、粉丝画像分析、方案优化）；（6）汽车网络营销案例（新能源汽车直播卖车、二手车短视频营销、维修保养套餐线上推广）。</w:t>
      </w:r>
    </w:p>
    <w:p w14:paraId="67F5D296">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24DCD404">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（1）教师要求：具备汽车网络营销实战经验（如4S店新媒体运营、汽车MCN机构内容策划），熟悉主流平台规则，能指导学生创作与运营。</w:t>
      </w:r>
    </w:p>
    <w:p w14:paraId="5517070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（2）教学条件：多媒体课件（含优秀营销案例、平台规则文档）；短视频/直播设备（手机、三脚架、补光灯、麦克风）；数据分析工具（平台后台演示账号）；线上实训平台（模拟账号运营）。</w:t>
      </w:r>
    </w:p>
    <w:p w14:paraId="1A264FA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（3）教学方法：项目教学法（“为某新能源车型制定15天短视频营销方案”）、实战操作法（拍摄短视频、模拟直播）、案例分析法（优秀/失败营销案例拆解）、小组协作法（团队完成营销项目）。</w:t>
      </w:r>
    </w:p>
    <w:p w14:paraId="569ABAA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（4）考核评价：过程考核占70%（含营销方案、内容创作、直播表现、数据分析报告）+综合考核占30%（理论笔试）。</w:t>
      </w:r>
    </w:p>
    <w:p w14:paraId="3C68662F">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15.电动汽车充电设施运营与维护</w:t>
      </w:r>
    </w:p>
    <w:p w14:paraId="34DCC222">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1ED9943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电动汽车充电设施的类型（交流充电桩、直流充电桩、换电站）与核心组成（充电模块、控制单元、计费系统、通信模块）；理解充电设施的工作原理（充电协议、功率调节、安全保护）；熟悉充电设施运营管理规范（日常巡检、用户服务、计费标准、应急处理）；掌握充电设施常见故障（无法充电、充电中断、计费异常）的排查方法。</w:t>
      </w:r>
    </w:p>
    <w:p w14:paraId="5664066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完成充电设施日常巡检（外观检查、电缆检测、指示灯状态判断）；能使用万用表、绝缘测试仪检测充电设施电气参数；能排查并处理简单故障（如充电枪接触不良、通信模块故障）；能协助制定充电设施运营计划（充电桩布局、高峰时段调度）。</w:t>
      </w:r>
    </w:p>
    <w:p w14:paraId="0815255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（3）素质目标：具备充电安全意识，严格遵守运营维护规范；养成责任意识，确保充电设施正常运行以保障用户需求；具有服务意识，能耐心解答用户充电疑问。</w:t>
      </w:r>
    </w:p>
    <w:p w14:paraId="211850AE">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136738E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（1）充电设施基础（类型、核心部件、充电协议（GB/T 20234））；（2）充电设施工作原理（交流充电流程、直流充电功率调节、安全保护机制）；（3）充电设施运营管理（日常巡检流程、用户注册与计费、充电数据统计、高峰时段运营策略）；（4）充电设施维护技术（外观检查、电气参数检测、充电枪维护、软件升级）；（5）充电设施故障处理（无法充电、充电中断、计费异常、通信故障排查）；（6）充电设施安全规范（防火、防触电、应急处置）。</w:t>
      </w:r>
    </w:p>
    <w:p w14:paraId="20BA7A87">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15C09202">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（1）教师要求：具备充电设施运维资质，熟悉主流充电桩（如特来电、星星充电）的构造与维护，有充电场站运营经验，能指导故障排查。</w:t>
      </w:r>
    </w:p>
    <w:p w14:paraId="0B050A77">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（2）教学条件：交流/直流充电桩实训台（带故障模拟功能）；充电设施检测工具（万用表、绝缘测试仪、充电桩诊断仪）；充电协议仿真软件；模拟充电场站场景（含充电桩、计费终端）。</w:t>
      </w:r>
    </w:p>
    <w:p w14:paraId="4513992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（3）教学方法：现场教学法（充电桩部件拆解与演示）、动手实操法（巡检与维护操作）、案例分析法（充电故障案例）、任务驱动法（“排查充电桩无法充电故障”）。</w:t>
      </w:r>
    </w:p>
    <w:p w14:paraId="08ABF2A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（4）考核评价：过程考核占70%（含巡检记录、维护实操、故障排查报告）+综合考核占30%</w:t>
      </w:r>
      <w:r>
        <w:rPr>
          <w:rFonts w:hint="eastAsia" w:ascii="宋体" w:hAnsi="宋体" w:eastAsia="宋体" w:cs="宋体"/>
          <w:szCs w:val="21"/>
          <w:lang w:bidi="ar"/>
        </w:rPr>
        <w:t>（理论笔试）</w:t>
      </w:r>
      <w:r>
        <w:rPr>
          <w:rFonts w:hint="eastAsia" w:ascii="宋体" w:hAnsi="宋体" w:eastAsia="宋体" w:cs="宋体"/>
          <w:bCs/>
          <w:szCs w:val="21"/>
        </w:rPr>
        <w:t>。</w:t>
      </w:r>
    </w:p>
    <w:p w14:paraId="3F756CB9">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16.汽车保险与理赔</w:t>
      </w:r>
    </w:p>
    <w:p w14:paraId="67162C6E">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493FF2F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汽车保险的基本类型（交强险、商业险）及保障范围；理解新能源汽车保险与传统燃油车保险的差异（如电池险、专属条款）；熟悉保险理赔的流程（报案、查勘、定损、赔付）与争议处理方法。</w:t>
      </w:r>
    </w:p>
    <w:p w14:paraId="7022E3B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（2）能力目标：能为客户介绍汽车保险产品并协助选择投保方案；能初步判断事故车辆的损失程度；能协助收集保险理赔所需资料。</w:t>
      </w:r>
    </w:p>
    <w:p w14:paraId="7B549FB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（3）素质目标：培养诚信服务意识和法律意识；具备沟通协调能力，树立“客观公正”的理赔理念。</w:t>
      </w:r>
    </w:p>
    <w:p w14:paraId="46DDE8E2">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480184B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汽车保险基础知识（原则、法规）；（2）交强险与商业险（车损险、第三者责任险等）；（3）新能源汽车专属保险条款（电池、电机保障）；（4）保险理赔流程与定损方法；（5）事故车辆查勘与损失评估；（6）保险纠纷处理与案例分析。</w:t>
      </w:r>
    </w:p>
    <w:p w14:paraId="2132C424">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6AB094B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（1）教师要求：熟悉汽车保险条款与理赔实务，具备保险行业从业经验，能结合案例讲解法规与流程。</w:t>
      </w:r>
    </w:p>
    <w:p w14:paraId="5BD59BA7">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（2）教学条件：多媒体课件（含保险条款、理赔案例）、模拟事故车辆、定损工具（如漆膜仪、卷尺）。</w:t>
      </w:r>
    </w:p>
    <w:p w14:paraId="3735961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（3）教学方法：案例分析法（“新能源汽车电池事故理赔案例”）、角色扮演法（“查勘员与车主沟通模拟”）、情景模拟法（“事故现场查勘实训”）。</w:t>
      </w:r>
    </w:p>
    <w:p w14:paraId="35213624">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（4）考核评价：过程考核占70%（含保险方案设计、理赔案例分析）+综合考核占30%（理论笔试）。</w:t>
      </w:r>
    </w:p>
    <w:p w14:paraId="6323CC87">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17.二手车鉴定与评估</w:t>
      </w:r>
    </w:p>
    <w:p w14:paraId="6B81B0DB">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课程目标：</w:t>
      </w:r>
    </w:p>
    <w:p w14:paraId="338977D0">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（1）知识目标：掌握二手车鉴定评估的基本流程与方法；理解新能源汽车与传统燃油车在鉴定评估中的差异（如电池寿命、电机状态）；熟悉二手车评估的法律法规与行业标准。</w:t>
      </w:r>
    </w:p>
    <w:p w14:paraId="577ED35E">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（2）能力目标：能对车辆外观、内饰、机械部件进行技术状况鉴定；能使用专用设备（如电池检测仪）评估新能源汽车电池健康状态（SOH）；能根据鉴定结果估算车辆残值。</w:t>
      </w:r>
    </w:p>
    <w:p w14:paraId="6EEFF62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（3）素质目标：培养客观公正的职业操守和诚信意识；具备严谨细致的鉴定态度，树立“数据支撑评估”的职业理念。</w:t>
      </w:r>
    </w:p>
    <w:p w14:paraId="652F1833">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主要内容：</w:t>
      </w:r>
    </w:p>
    <w:p w14:paraId="2CFF5F0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二手车鉴定评估基础（流程、术语）；（2）传统燃油车技术状况鉴定（发动机、底盘、车身）；（3）新能源汽车专项鉴定（电池、电机、电控系统）；（4）二手车价值评估方法（重置成本法、市场比较法）；（5）二手车评估报告撰写；（6）新能源汽车残值影响因素（电池衰减、技术迭代）。</w:t>
      </w:r>
    </w:p>
    <w:p w14:paraId="3CAA2ADD">
      <w:pPr>
        <w:adjustRightInd w:val="0"/>
        <w:snapToGrid w:val="0"/>
        <w:spacing w:line="400" w:lineRule="exact"/>
        <w:ind w:firstLine="422" w:firstLineChars="200"/>
        <w:rPr>
          <w:rFonts w:ascii="宋体" w:hAnsi="宋体" w:eastAsia="宋体" w:cs="宋体"/>
          <w:b/>
          <w:bCs/>
          <w:szCs w:val="21"/>
        </w:rPr>
      </w:pPr>
      <w:r>
        <w:rPr>
          <w:rFonts w:hint="eastAsia" w:ascii="宋体" w:hAnsi="宋体" w:eastAsia="宋体" w:cs="宋体"/>
          <w:b/>
          <w:bCs/>
          <w:szCs w:val="21"/>
          <w:lang w:bidi="ar"/>
        </w:rPr>
        <w:t>教学要求：</w:t>
      </w:r>
    </w:p>
    <w:p w14:paraId="3F3BCB15">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（1）教师要求：具备二手车鉴定评估师资格，熟悉新能源汽车评估特点，能指导实车鉴定训练。</w:t>
      </w:r>
    </w:p>
    <w:p w14:paraId="774B44D8">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（2）教学条件：多媒体课件（含评估案例）、不同车况的实训车辆（燃油车与新能源汽车）、电池检测仪、漆膜仪等评估工具。</w:t>
      </w:r>
    </w:p>
    <w:p w14:paraId="4F64C2C2">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（3）教学方法：实车鉴定法（“新能源汽车电池状态评估实操”）、案例分析法（“事故车鉴定与贬值计算”）、角色扮演法（“评估师与客户沟通模拟”）。</w:t>
      </w:r>
    </w:p>
    <w:p w14:paraId="5B11CB0B">
      <w:pPr>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lang w:bidi="ar"/>
        </w:rPr>
        <w:t>（4）考核评价：过程考核占70%（含实车鉴定实操、评估报告）+综合考核占30%（理论笔试）。</w:t>
      </w:r>
    </w:p>
    <w:p w14:paraId="3C7D88F3">
      <w:pPr>
        <w:adjustRightInd w:val="0"/>
        <w:snapToGrid w:val="0"/>
        <w:spacing w:line="400" w:lineRule="exact"/>
        <w:ind w:firstLine="422" w:firstLineChars="200"/>
        <w:rPr>
          <w:rFonts w:ascii="宋体" w:hAnsi="宋体" w:eastAsia="宋体" w:cs="宋体"/>
          <w:b/>
          <w:szCs w:val="21"/>
        </w:rPr>
      </w:pPr>
      <w:r>
        <w:rPr>
          <w:rFonts w:hint="eastAsia" w:ascii="宋体" w:hAnsi="宋体" w:eastAsia="宋体" w:cs="宋体"/>
          <w:b/>
          <w:szCs w:val="21"/>
        </w:rPr>
        <w:t>18.汽车维修接待实务</w:t>
      </w:r>
    </w:p>
    <w:p w14:paraId="5251350A">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课程目标</w:t>
      </w:r>
      <w:r>
        <w:rPr>
          <w:rFonts w:hint="eastAsia" w:ascii="宋体" w:hAnsi="宋体" w:eastAsia="宋体" w:cs="宋体"/>
          <w:b/>
          <w:szCs w:val="21"/>
          <w:lang w:eastAsia="zh-CN"/>
        </w:rPr>
        <w:t>：</w:t>
      </w:r>
    </w:p>
    <w:p w14:paraId="76B7382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知识目标：掌握汽车维修接待的核心流程（客户接待、车辆问诊、故障记录、维修方案沟通、费用报价、交车服务、售后回访）；熟悉汽车维修单据（接车单、派工单、结算单）的填写规范；理解客户沟通技巧（需求挖掘、异议处理、投诉应对）；掌握汽车维修相关法规（售后保障、维修质量承诺、配件质保）。</w:t>
      </w:r>
    </w:p>
    <w:p w14:paraId="0075168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能力目标：能热情接待客户并引导车辆进店；能准确记录客户报修需求与车辆信息（车型、里程、故障现象）；能与维修技师协同制定维修方案，并向客户清晰说明（维修项目、费用、时长）；能处理客户异议（如维修费用争议、维修周期延长）；能规范填写维修单据并完成交车流程（车辆清洗、维修项目讲解、售后提醒）。</w:t>
      </w:r>
    </w:p>
    <w:p w14:paraId="55B2E21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素质目标：具备良好的服务礼仪与沟通表达能力，树立“客户至上”的服务理念；养成细致认真的工作态度，避免单据填写错误；具有团队协作精神，能与维修技师高效配合；树立诚信服务的职业道德，不夸大故障、不推荐不必要的维修项目。</w:t>
      </w:r>
    </w:p>
    <w:p w14:paraId="26D10FA7">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主要内容</w:t>
      </w:r>
      <w:r>
        <w:rPr>
          <w:rFonts w:hint="eastAsia" w:ascii="宋体" w:hAnsi="宋体" w:eastAsia="宋体" w:cs="宋体"/>
          <w:b/>
          <w:szCs w:val="21"/>
          <w:lang w:eastAsia="zh-CN"/>
        </w:rPr>
        <w:t>：</w:t>
      </w:r>
    </w:p>
    <w:p w14:paraId="1D6428F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汽车维修接待基础（服务礼仪、接待流程、门店环境规范）；（2）车辆问诊与信息记录（客户需求挖掘、故障现象详细记录、车辆基本信息登记）；（3）维修方案沟通与报价（维修项目确认、费用计算、维修时长预估、配件质保说明）；（4）维修单据管理（接车单、派工单、结算单填写规范）；（5）客户异议与投诉处理（费用争议、维修质量投诉、售后问题应对）；（6）交车与售后回访（车辆清洗、维修项目讲解、售后保养提醒、客户满意度调查）。</w:t>
      </w:r>
    </w:p>
    <w:p w14:paraId="29EFD37E">
      <w:pPr>
        <w:adjustRightInd w:val="0"/>
        <w:snapToGrid w:val="0"/>
        <w:spacing w:line="400" w:lineRule="exact"/>
        <w:ind w:firstLine="422" w:firstLineChars="200"/>
        <w:rPr>
          <w:rFonts w:hint="eastAsia" w:ascii="宋体" w:hAnsi="宋体" w:eastAsia="宋体" w:cs="宋体"/>
          <w:b/>
          <w:szCs w:val="21"/>
          <w:lang w:eastAsia="zh-CN"/>
        </w:rPr>
      </w:pPr>
      <w:r>
        <w:rPr>
          <w:rFonts w:hint="eastAsia" w:ascii="宋体" w:hAnsi="宋体" w:eastAsia="宋体" w:cs="宋体"/>
          <w:b/>
          <w:szCs w:val="21"/>
        </w:rPr>
        <w:t>教学要求</w:t>
      </w:r>
      <w:r>
        <w:rPr>
          <w:rFonts w:hint="eastAsia" w:ascii="宋体" w:hAnsi="宋体" w:eastAsia="宋体" w:cs="宋体"/>
          <w:b/>
          <w:szCs w:val="21"/>
          <w:lang w:eastAsia="zh-CN"/>
        </w:rPr>
        <w:t>：</w:t>
      </w:r>
    </w:p>
    <w:p w14:paraId="0D29518B">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（1）教师要求：具备汽车4S店或综合修理厂维修接待经验，熟悉客户服务流程与沟通技巧，能模拟各种客户场景进行指导。</w:t>
      </w:r>
    </w:p>
    <w:p w14:paraId="7612CCC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教学条件：模拟维修接待场景（接待台、客户休息区、车辆停放区）；维修单据样本（接车单、派工单、结算单）；多媒体课件（含接待流程视频、沟通案例）；角色扮演道具（客户需求卡片、维修项目清单）。</w:t>
      </w:r>
    </w:p>
    <w:p w14:paraId="5539B8D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（3）教学方法：角色扮演法（“接待报修客户”、“处理费用异议客户”）、案例分析法（优秀/失败接待案例）、情景模拟法（突发情况处理：如维修中发现新增故障）、实战演练法（模拟完整接待流程）。</w:t>
      </w:r>
    </w:p>
    <w:p w14:paraId="58A80BFF">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（4）考核评价：过程考核占70%（含模拟接待表现、单据填写、沟通技巧）+综合考核占30%（理论笔试）。</w:t>
      </w:r>
    </w:p>
    <w:p w14:paraId="7FB5B51B">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（三）专业集中实践（技能）课程</w:t>
      </w:r>
    </w:p>
    <w:p w14:paraId="2AC9BC89">
      <w:pPr>
        <w:pStyle w:val="2"/>
        <w:spacing w:before="0" w:after="0" w:line="40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表4  专业集中实践（技能）课程设置表</w:t>
      </w:r>
    </w:p>
    <w:tbl>
      <w:tblPr>
        <w:tblStyle w:val="13"/>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15D3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44" w:hRule="exact"/>
          <w:jc w:val="center"/>
        </w:trPr>
        <w:tc>
          <w:tcPr>
            <w:tcW w:w="555" w:type="dxa"/>
            <w:vAlign w:val="center"/>
          </w:tcPr>
          <w:p w14:paraId="428D1E6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序号</w:t>
            </w:r>
          </w:p>
        </w:tc>
        <w:tc>
          <w:tcPr>
            <w:tcW w:w="1090" w:type="dxa"/>
            <w:vAlign w:val="center"/>
          </w:tcPr>
          <w:p w14:paraId="44CD14C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课程编码</w:t>
            </w:r>
          </w:p>
        </w:tc>
        <w:tc>
          <w:tcPr>
            <w:tcW w:w="2916" w:type="dxa"/>
            <w:vAlign w:val="center"/>
          </w:tcPr>
          <w:p w14:paraId="48D44B8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课程名称</w:t>
            </w:r>
          </w:p>
        </w:tc>
        <w:tc>
          <w:tcPr>
            <w:tcW w:w="630" w:type="dxa"/>
            <w:vAlign w:val="center"/>
          </w:tcPr>
          <w:p w14:paraId="0D29ADAD">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实践周数</w:t>
            </w:r>
          </w:p>
        </w:tc>
        <w:tc>
          <w:tcPr>
            <w:tcW w:w="680" w:type="dxa"/>
            <w:vAlign w:val="center"/>
          </w:tcPr>
          <w:p w14:paraId="33A9636E">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学分</w:t>
            </w:r>
          </w:p>
        </w:tc>
        <w:tc>
          <w:tcPr>
            <w:tcW w:w="530" w:type="dxa"/>
            <w:vAlign w:val="center"/>
          </w:tcPr>
          <w:p w14:paraId="541268D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开设学期</w:t>
            </w:r>
          </w:p>
        </w:tc>
        <w:tc>
          <w:tcPr>
            <w:tcW w:w="1557" w:type="dxa"/>
            <w:vAlign w:val="center"/>
          </w:tcPr>
          <w:p w14:paraId="6FDB8A2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实施地点</w:t>
            </w:r>
          </w:p>
        </w:tc>
        <w:tc>
          <w:tcPr>
            <w:tcW w:w="1244" w:type="dxa"/>
            <w:vAlign w:val="center"/>
          </w:tcPr>
          <w:p w14:paraId="4BB0F205">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0EB77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26" w:hRule="exact"/>
          <w:jc w:val="center"/>
        </w:trPr>
        <w:tc>
          <w:tcPr>
            <w:tcW w:w="555" w:type="dxa"/>
            <w:vAlign w:val="center"/>
          </w:tcPr>
          <w:p w14:paraId="251A3D95">
            <w:pPr>
              <w:adjustRightInd w:val="0"/>
              <w:spacing w:line="200" w:lineRule="exact"/>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1090" w:type="dxa"/>
            <w:vAlign w:val="center"/>
          </w:tcPr>
          <w:p w14:paraId="3E6E6114">
            <w:pPr>
              <w:keepNext w:val="0"/>
              <w:keepLines w:val="0"/>
              <w:pageBreakBefore w:val="0"/>
              <w:widowControl/>
              <w:kinsoku/>
              <w:wordWrap/>
              <w:overflowPunct/>
              <w:topLinePunct w:val="0"/>
              <w:autoSpaceDE/>
              <w:autoSpaceDN/>
              <w:bidi w:val="0"/>
              <w:snapToGrid/>
              <w:spacing w:line="240" w:lineRule="auto"/>
              <w:jc w:val="center"/>
              <w:textAlignment w:val="center"/>
              <w:rPr>
                <w:rFonts w:ascii="Times New Roman" w:hAnsi="Times New Roman" w:eastAsia="宋体" w:cs="Times New Roman"/>
                <w:bCs/>
                <w:kern w:val="0"/>
                <w:sz w:val="18"/>
                <w:szCs w:val="18"/>
                <w:lang w:bidi="ar"/>
              </w:rPr>
            </w:pPr>
            <w:r>
              <w:rPr>
                <w:rFonts w:ascii="Times New Roman" w:hAnsi="Times New Roman" w:eastAsia="宋体" w:cs="Times New Roman"/>
                <w:sz w:val="18"/>
                <w:szCs w:val="18"/>
                <w:lang w:bidi="ar"/>
              </w:rPr>
              <w:t>1224546008</w:t>
            </w:r>
          </w:p>
        </w:tc>
        <w:tc>
          <w:tcPr>
            <w:tcW w:w="2916" w:type="dxa"/>
            <w:vAlign w:val="center"/>
          </w:tcPr>
          <w:p w14:paraId="00634A3B">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汽车拆装实训</w:t>
            </w:r>
          </w:p>
          <w:p w14:paraId="1FAB7C14">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Car Disassembly and Installation Training</w:t>
            </w:r>
          </w:p>
        </w:tc>
        <w:tc>
          <w:tcPr>
            <w:tcW w:w="630" w:type="dxa"/>
            <w:vAlign w:val="center"/>
          </w:tcPr>
          <w:p w14:paraId="332F6F78">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680" w:type="dxa"/>
            <w:vAlign w:val="center"/>
          </w:tcPr>
          <w:p w14:paraId="785587B0">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530" w:type="dxa"/>
            <w:vAlign w:val="center"/>
          </w:tcPr>
          <w:p w14:paraId="456674A5">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3</w:t>
            </w:r>
          </w:p>
        </w:tc>
        <w:tc>
          <w:tcPr>
            <w:tcW w:w="1557" w:type="dxa"/>
            <w:vAlign w:val="center"/>
          </w:tcPr>
          <w:p w14:paraId="431E7162">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校内</w:t>
            </w:r>
          </w:p>
        </w:tc>
        <w:tc>
          <w:tcPr>
            <w:tcW w:w="1244" w:type="dxa"/>
            <w:vAlign w:val="center"/>
          </w:tcPr>
          <w:p w14:paraId="623241C8">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p>
        </w:tc>
      </w:tr>
      <w:tr w14:paraId="099B1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64" w:hRule="exact"/>
          <w:jc w:val="center"/>
        </w:trPr>
        <w:tc>
          <w:tcPr>
            <w:tcW w:w="555" w:type="dxa"/>
            <w:vAlign w:val="center"/>
          </w:tcPr>
          <w:p w14:paraId="2D3A031A">
            <w:pPr>
              <w:adjustRightInd w:val="0"/>
              <w:spacing w:line="200" w:lineRule="exact"/>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w:t>
            </w:r>
          </w:p>
        </w:tc>
        <w:tc>
          <w:tcPr>
            <w:tcW w:w="1090" w:type="dxa"/>
            <w:vAlign w:val="center"/>
          </w:tcPr>
          <w:p w14:paraId="6D8D9967">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1224546080</w:t>
            </w:r>
          </w:p>
        </w:tc>
        <w:tc>
          <w:tcPr>
            <w:tcW w:w="2916" w:type="dxa"/>
            <w:vAlign w:val="center"/>
          </w:tcPr>
          <w:p w14:paraId="3A42D02C">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汽车综合故障诊断课程实习</w:t>
            </w:r>
          </w:p>
          <w:p w14:paraId="650D10E2">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8"/>
                <w:szCs w:val="18"/>
                <w:lang w:bidi="ar"/>
              </w:rPr>
              <w:t>Course Internship on Comprehensive Fault Diagnosis of Vehicles</w:t>
            </w:r>
          </w:p>
        </w:tc>
        <w:tc>
          <w:tcPr>
            <w:tcW w:w="630" w:type="dxa"/>
            <w:vAlign w:val="center"/>
          </w:tcPr>
          <w:p w14:paraId="45EDF0FE">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680" w:type="dxa"/>
            <w:vAlign w:val="center"/>
          </w:tcPr>
          <w:p w14:paraId="0940EC35">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1</w:t>
            </w:r>
          </w:p>
        </w:tc>
        <w:tc>
          <w:tcPr>
            <w:tcW w:w="530" w:type="dxa"/>
            <w:vAlign w:val="center"/>
          </w:tcPr>
          <w:p w14:paraId="400435BC">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4</w:t>
            </w:r>
          </w:p>
        </w:tc>
        <w:tc>
          <w:tcPr>
            <w:tcW w:w="1557" w:type="dxa"/>
            <w:vAlign w:val="center"/>
          </w:tcPr>
          <w:p w14:paraId="343AE123">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校内</w:t>
            </w:r>
          </w:p>
        </w:tc>
        <w:tc>
          <w:tcPr>
            <w:tcW w:w="1244" w:type="dxa"/>
            <w:vAlign w:val="center"/>
          </w:tcPr>
          <w:p w14:paraId="3845CE0B">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p>
        </w:tc>
      </w:tr>
      <w:tr w14:paraId="5D8D3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848" w:hRule="exact"/>
          <w:jc w:val="center"/>
        </w:trPr>
        <w:tc>
          <w:tcPr>
            <w:tcW w:w="555" w:type="dxa"/>
            <w:vAlign w:val="center"/>
          </w:tcPr>
          <w:p w14:paraId="67A07C79">
            <w:pPr>
              <w:adjustRightInd w:val="0"/>
              <w:spacing w:line="200" w:lineRule="exact"/>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3</w:t>
            </w:r>
          </w:p>
        </w:tc>
        <w:tc>
          <w:tcPr>
            <w:tcW w:w="1090" w:type="dxa"/>
            <w:vAlign w:val="center"/>
          </w:tcPr>
          <w:p w14:paraId="5B2B4D44">
            <w:pPr>
              <w:keepNext w:val="0"/>
              <w:keepLines w:val="0"/>
              <w:pageBreakBefore w:val="0"/>
              <w:widowControl/>
              <w:kinsoku/>
              <w:wordWrap/>
              <w:overflowPunct/>
              <w:topLinePunct w:val="0"/>
              <w:autoSpaceDE/>
              <w:autoSpaceDN/>
              <w:bidi w:val="0"/>
              <w:snapToGrid/>
              <w:spacing w:line="240" w:lineRule="auto"/>
              <w:jc w:val="center"/>
              <w:textAlignment w:val="center"/>
              <w:rPr>
                <w:rFonts w:ascii="Times New Roman" w:hAnsi="Times New Roman" w:eastAsia="宋体" w:cs="Times New Roman"/>
                <w:bCs/>
                <w:kern w:val="0"/>
                <w:sz w:val="18"/>
                <w:szCs w:val="18"/>
                <w:lang w:bidi="ar"/>
              </w:rPr>
            </w:pPr>
            <w:r>
              <w:rPr>
                <w:rFonts w:ascii="Times New Roman" w:hAnsi="Times New Roman" w:eastAsia="宋体" w:cs="Times New Roman"/>
                <w:bCs/>
                <w:kern w:val="0"/>
                <w:sz w:val="17"/>
                <w:szCs w:val="17"/>
                <w:lang w:bidi="ar"/>
              </w:rPr>
              <w:t>1224646001</w:t>
            </w:r>
          </w:p>
        </w:tc>
        <w:tc>
          <w:tcPr>
            <w:tcW w:w="2916" w:type="dxa"/>
            <w:vAlign w:val="center"/>
          </w:tcPr>
          <w:p w14:paraId="3F11F024">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顶岗实习及毕业实践</w:t>
            </w:r>
          </w:p>
          <w:p w14:paraId="6B71B111">
            <w:pPr>
              <w:keepNext w:val="0"/>
              <w:keepLines w:val="0"/>
              <w:pageBreakBefore w:val="0"/>
              <w:kinsoku/>
              <w:wordWrap/>
              <w:overflowPunct/>
              <w:topLinePunct w:val="0"/>
              <w:autoSpaceDE/>
              <w:autoSpaceDN/>
              <w:bidi w:val="0"/>
              <w:adjustRightInd w:val="0"/>
              <w:snapToGrid/>
              <w:spacing w:line="240" w:lineRule="auto"/>
              <w:jc w:val="left"/>
              <w:rPr>
                <w:rFonts w:ascii="Times New Roman" w:hAnsi="Times New Roman" w:eastAsia="宋体" w:cs="Times New Roman"/>
                <w:bCs/>
                <w:kern w:val="0"/>
                <w:sz w:val="18"/>
                <w:szCs w:val="18"/>
                <w:lang w:bidi="ar"/>
              </w:rPr>
            </w:pPr>
            <w:r>
              <w:rPr>
                <w:rFonts w:ascii="Times New Roman" w:hAnsi="Times New Roman" w:eastAsia="宋体" w:cs="Times New Roman"/>
                <w:bCs/>
                <w:kern w:val="0"/>
                <w:sz w:val="17"/>
                <w:szCs w:val="17"/>
                <w:lang w:bidi="ar"/>
              </w:rPr>
              <w:t>Job Internship and Graduation Practice</w:t>
            </w:r>
          </w:p>
        </w:tc>
        <w:tc>
          <w:tcPr>
            <w:tcW w:w="630" w:type="dxa"/>
            <w:vAlign w:val="center"/>
          </w:tcPr>
          <w:p w14:paraId="0BDC5548">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28</w:t>
            </w:r>
          </w:p>
        </w:tc>
        <w:tc>
          <w:tcPr>
            <w:tcW w:w="680" w:type="dxa"/>
            <w:vAlign w:val="center"/>
          </w:tcPr>
          <w:p w14:paraId="4D0DA276">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28</w:t>
            </w:r>
          </w:p>
        </w:tc>
        <w:tc>
          <w:tcPr>
            <w:tcW w:w="530" w:type="dxa"/>
            <w:vAlign w:val="center"/>
          </w:tcPr>
          <w:p w14:paraId="318C0BDB">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5-6</w:t>
            </w:r>
          </w:p>
        </w:tc>
        <w:tc>
          <w:tcPr>
            <w:tcW w:w="1557" w:type="dxa"/>
            <w:vAlign w:val="center"/>
          </w:tcPr>
          <w:p w14:paraId="76B41E24">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r>
              <w:rPr>
                <w:rFonts w:hint="eastAsia" w:ascii="Times New Roman" w:hAnsi="Times New Roman" w:eastAsia="宋体" w:cs="Times New Roman"/>
                <w:bCs/>
                <w:kern w:val="0"/>
                <w:sz w:val="18"/>
                <w:szCs w:val="18"/>
                <w:lang w:bidi="ar"/>
              </w:rPr>
              <w:t>实习基地/校外相关企业/校内</w:t>
            </w:r>
          </w:p>
        </w:tc>
        <w:tc>
          <w:tcPr>
            <w:tcW w:w="1244" w:type="dxa"/>
            <w:vAlign w:val="center"/>
          </w:tcPr>
          <w:p w14:paraId="6B980BCA">
            <w:pPr>
              <w:keepNext w:val="0"/>
              <w:keepLines w:val="0"/>
              <w:pageBreakBefore w:val="0"/>
              <w:kinsoku/>
              <w:wordWrap/>
              <w:overflowPunct/>
              <w:topLinePunct w:val="0"/>
              <w:autoSpaceDE/>
              <w:autoSpaceDN/>
              <w:bidi w:val="0"/>
              <w:adjustRightInd w:val="0"/>
              <w:snapToGrid/>
              <w:spacing w:line="240" w:lineRule="auto"/>
              <w:jc w:val="center"/>
              <w:rPr>
                <w:rFonts w:ascii="Times New Roman" w:hAnsi="Times New Roman" w:eastAsia="宋体" w:cs="Times New Roman"/>
                <w:bCs/>
                <w:kern w:val="0"/>
                <w:sz w:val="18"/>
                <w:szCs w:val="18"/>
                <w:lang w:bidi="ar"/>
              </w:rPr>
            </w:pPr>
          </w:p>
        </w:tc>
      </w:tr>
      <w:tr w14:paraId="4CEA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48" w:hRule="exact"/>
          <w:jc w:val="center"/>
        </w:trPr>
        <w:tc>
          <w:tcPr>
            <w:tcW w:w="4561" w:type="dxa"/>
            <w:gridSpan w:val="3"/>
            <w:vAlign w:val="center"/>
          </w:tcPr>
          <w:p w14:paraId="184B2D9A">
            <w:pPr>
              <w:adjustRightInd w:val="0"/>
              <w:snapToGrid w:val="0"/>
              <w:spacing w:line="28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630" w:type="dxa"/>
            <w:vAlign w:val="center"/>
          </w:tcPr>
          <w:p w14:paraId="64320BAE">
            <w:pPr>
              <w:adjustRightInd w:val="0"/>
              <w:snapToGrid w:val="0"/>
              <w:spacing w:line="280" w:lineRule="exact"/>
              <w:jc w:val="center"/>
              <w:rPr>
                <w:rFonts w:ascii="宋体" w:hAnsi="宋体" w:eastAsia="宋体" w:cs="宋体"/>
                <w:b/>
                <w:sz w:val="18"/>
                <w:szCs w:val="18"/>
              </w:rPr>
            </w:pPr>
            <w:r>
              <w:rPr>
                <w:rFonts w:hint="eastAsia" w:ascii="宋体" w:hAnsi="宋体" w:eastAsia="宋体" w:cs="宋体"/>
                <w:b/>
                <w:sz w:val="18"/>
                <w:szCs w:val="18"/>
              </w:rPr>
              <w:t>30</w:t>
            </w:r>
          </w:p>
        </w:tc>
        <w:tc>
          <w:tcPr>
            <w:tcW w:w="680" w:type="dxa"/>
            <w:vAlign w:val="center"/>
          </w:tcPr>
          <w:p w14:paraId="3E1CADF6">
            <w:pPr>
              <w:adjustRightInd w:val="0"/>
              <w:snapToGrid w:val="0"/>
              <w:spacing w:line="280" w:lineRule="exact"/>
              <w:jc w:val="center"/>
              <w:rPr>
                <w:rFonts w:ascii="宋体" w:hAnsi="宋体" w:eastAsia="宋体" w:cs="宋体"/>
                <w:b/>
                <w:sz w:val="18"/>
                <w:szCs w:val="18"/>
              </w:rPr>
            </w:pPr>
            <w:r>
              <w:rPr>
                <w:rFonts w:hint="eastAsia" w:ascii="宋体" w:hAnsi="宋体" w:eastAsia="宋体" w:cs="宋体"/>
                <w:b/>
                <w:sz w:val="18"/>
                <w:szCs w:val="18"/>
              </w:rPr>
              <w:t>30</w:t>
            </w:r>
          </w:p>
        </w:tc>
        <w:tc>
          <w:tcPr>
            <w:tcW w:w="530" w:type="dxa"/>
            <w:vAlign w:val="center"/>
          </w:tcPr>
          <w:p w14:paraId="3FB0EC9C">
            <w:pPr>
              <w:adjustRightInd w:val="0"/>
              <w:snapToGrid w:val="0"/>
              <w:spacing w:line="280" w:lineRule="exact"/>
              <w:jc w:val="center"/>
              <w:rPr>
                <w:rFonts w:ascii="宋体" w:hAnsi="宋体" w:eastAsia="宋体" w:cs="宋体"/>
                <w:b/>
                <w:sz w:val="18"/>
                <w:szCs w:val="18"/>
              </w:rPr>
            </w:pPr>
          </w:p>
        </w:tc>
        <w:tc>
          <w:tcPr>
            <w:tcW w:w="1557" w:type="dxa"/>
            <w:vAlign w:val="center"/>
          </w:tcPr>
          <w:p w14:paraId="2C4CE36D">
            <w:pPr>
              <w:adjustRightInd w:val="0"/>
              <w:snapToGrid w:val="0"/>
              <w:spacing w:line="280" w:lineRule="exact"/>
              <w:jc w:val="center"/>
              <w:rPr>
                <w:rFonts w:ascii="宋体" w:hAnsi="宋体" w:eastAsia="宋体" w:cs="宋体"/>
                <w:b/>
                <w:sz w:val="18"/>
                <w:szCs w:val="18"/>
              </w:rPr>
            </w:pPr>
          </w:p>
        </w:tc>
        <w:tc>
          <w:tcPr>
            <w:tcW w:w="1244" w:type="dxa"/>
            <w:vAlign w:val="center"/>
          </w:tcPr>
          <w:p w14:paraId="2B162BE0">
            <w:pPr>
              <w:adjustRightInd w:val="0"/>
              <w:snapToGrid w:val="0"/>
              <w:spacing w:line="280" w:lineRule="exact"/>
              <w:jc w:val="center"/>
              <w:rPr>
                <w:rFonts w:ascii="宋体" w:hAnsi="宋体" w:eastAsia="宋体" w:cs="宋体"/>
                <w:b/>
                <w:sz w:val="18"/>
                <w:szCs w:val="18"/>
              </w:rPr>
            </w:pPr>
          </w:p>
        </w:tc>
      </w:tr>
    </w:tbl>
    <w:p w14:paraId="64E57E90">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（四）课证融通</w:t>
      </w:r>
    </w:p>
    <w:p w14:paraId="30BA9463">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本专业相关的通用及职业技能等级或职业资格证书如表5所示。</w:t>
      </w:r>
    </w:p>
    <w:p w14:paraId="3C9A643F">
      <w:pPr>
        <w:pStyle w:val="2"/>
        <w:spacing w:before="0" w:after="0" w:line="400" w:lineRule="exact"/>
        <w:ind w:firstLine="0" w:firstLineChars="0"/>
        <w:jc w:val="center"/>
      </w:pPr>
      <w:r>
        <w:rPr>
          <w:rFonts w:hint="eastAsia" w:ascii="黑体" w:hAnsi="黑体" w:eastAsia="黑体" w:cs="黑体"/>
          <w:color w:val="000000"/>
          <w:kern w:val="0"/>
          <w:szCs w:val="21"/>
        </w:rPr>
        <w:t>表5  毕业生通用及职业技能等级或职业资格证书</w:t>
      </w:r>
    </w:p>
    <w:tbl>
      <w:tblPr>
        <w:tblStyle w:val="19"/>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5FB56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jc w:val="center"/>
        </w:trPr>
        <w:tc>
          <w:tcPr>
            <w:tcW w:w="2464" w:type="dxa"/>
            <w:vAlign w:val="center"/>
          </w:tcPr>
          <w:p w14:paraId="197B074D">
            <w:pPr>
              <w:keepNext w:val="0"/>
              <w:keepLines w:val="0"/>
              <w:pageBreakBefore w:val="0"/>
              <w:kinsoku/>
              <w:wordWrap/>
              <w:overflowPunct/>
              <w:topLinePunct w:val="0"/>
              <w:autoSpaceDE/>
              <w:autoSpaceDN/>
              <w:bidi w:val="0"/>
              <w:adjustRightInd w:val="0"/>
              <w:snapToGrid/>
              <w:spacing w:line="240" w:lineRule="auto"/>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证书名称</w:t>
            </w:r>
          </w:p>
        </w:tc>
        <w:tc>
          <w:tcPr>
            <w:tcW w:w="2384" w:type="dxa"/>
            <w:vAlign w:val="center"/>
          </w:tcPr>
          <w:p w14:paraId="663EF21B">
            <w:pPr>
              <w:keepNext w:val="0"/>
              <w:keepLines w:val="0"/>
              <w:pageBreakBefore w:val="0"/>
              <w:kinsoku/>
              <w:wordWrap/>
              <w:overflowPunct/>
              <w:topLinePunct w:val="0"/>
              <w:autoSpaceDE/>
              <w:autoSpaceDN/>
              <w:bidi w:val="0"/>
              <w:adjustRightInd w:val="0"/>
              <w:snapToGrid/>
              <w:spacing w:line="240" w:lineRule="auto"/>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颁证单位</w:t>
            </w:r>
          </w:p>
        </w:tc>
        <w:tc>
          <w:tcPr>
            <w:tcW w:w="2125" w:type="dxa"/>
            <w:vAlign w:val="center"/>
          </w:tcPr>
          <w:p w14:paraId="2BF84710">
            <w:pPr>
              <w:keepNext w:val="0"/>
              <w:keepLines w:val="0"/>
              <w:pageBreakBefore w:val="0"/>
              <w:kinsoku/>
              <w:wordWrap/>
              <w:overflowPunct/>
              <w:topLinePunct w:val="0"/>
              <w:autoSpaceDE/>
              <w:autoSpaceDN/>
              <w:bidi w:val="0"/>
              <w:adjustRightInd w:val="0"/>
              <w:snapToGrid/>
              <w:spacing w:line="240" w:lineRule="auto"/>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等级</w:t>
            </w:r>
          </w:p>
        </w:tc>
        <w:tc>
          <w:tcPr>
            <w:tcW w:w="2244" w:type="dxa"/>
            <w:vAlign w:val="center"/>
          </w:tcPr>
          <w:p w14:paraId="637FCC58">
            <w:pPr>
              <w:keepNext w:val="0"/>
              <w:keepLines w:val="0"/>
              <w:pageBreakBefore w:val="0"/>
              <w:kinsoku/>
              <w:wordWrap/>
              <w:overflowPunct/>
              <w:topLinePunct w:val="0"/>
              <w:autoSpaceDE/>
              <w:autoSpaceDN/>
              <w:bidi w:val="0"/>
              <w:adjustRightInd w:val="0"/>
              <w:snapToGrid/>
              <w:spacing w:line="240" w:lineRule="auto"/>
              <w:jc w:val="center"/>
              <w:textAlignment w:val="auto"/>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融通课程</w:t>
            </w:r>
          </w:p>
        </w:tc>
      </w:tr>
      <w:tr w14:paraId="5187C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vAlign w:val="center"/>
          </w:tcPr>
          <w:p w14:paraId="2C0D9811">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1"/>
                <w:sz w:val="18"/>
                <w:szCs w:val="18"/>
                <w:lang w:eastAsia="zh-CN"/>
                <w14:textFill>
                  <w14:solidFill>
                    <w14:schemeClr w14:val="tx1"/>
                  </w14:solidFill>
                </w14:textFill>
              </w:rPr>
              <w:t>普通话水平测试等级</w:t>
            </w:r>
            <w:r>
              <w:rPr>
                <w:snapToGrid w:val="0"/>
                <w:color w:val="000000" w:themeColor="text1"/>
                <w:spacing w:val="-2"/>
                <w:sz w:val="18"/>
                <w:szCs w:val="18"/>
                <w:lang w:eastAsia="zh-CN"/>
                <w14:textFill>
                  <w14:solidFill>
                    <w14:schemeClr w14:val="tx1"/>
                  </w14:solidFill>
                </w14:textFill>
              </w:rPr>
              <w:t>证书</w:t>
            </w:r>
          </w:p>
        </w:tc>
        <w:tc>
          <w:tcPr>
            <w:tcW w:w="2384" w:type="dxa"/>
            <w:vAlign w:val="center"/>
          </w:tcPr>
          <w:p w14:paraId="1292D9D9">
            <w:pPr>
              <w:pStyle w:val="22"/>
              <w:keepNext w:val="0"/>
              <w:keepLines w:val="0"/>
              <w:pageBreakBefore w:val="0"/>
              <w:kinsoku/>
              <w:wordWrap/>
              <w:overflowPunct/>
              <w:topLinePunct w:val="0"/>
              <w:autoSpaceDE/>
              <w:autoSpaceDN/>
              <w:bidi w:val="0"/>
              <w:snapToGrid/>
              <w:spacing w:line="240" w:lineRule="auto"/>
              <w:ind w:firstLine="19"/>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1"/>
                <w:sz w:val="18"/>
                <w:szCs w:val="18"/>
                <w:lang w:eastAsia="zh-CN"/>
                <w14:textFill>
                  <w14:solidFill>
                    <w14:schemeClr w14:val="tx1"/>
                  </w14:solidFill>
                </w14:textFill>
              </w:rPr>
              <w:t>国家语委普通话与文字应用培训测试中心</w:t>
            </w:r>
          </w:p>
        </w:tc>
        <w:tc>
          <w:tcPr>
            <w:tcW w:w="2125" w:type="dxa"/>
            <w:vAlign w:val="center"/>
          </w:tcPr>
          <w:p w14:paraId="47055400">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14:textFill>
                  <w14:solidFill>
                    <w14:schemeClr w14:val="tx1"/>
                  </w14:solidFill>
                </w14:textFill>
              </w:rPr>
            </w:pPr>
            <w:r>
              <w:rPr>
                <w:snapToGrid w:val="0"/>
                <w:color w:val="000000" w:themeColor="text1"/>
                <w:spacing w:val="-3"/>
                <w:sz w:val="18"/>
                <w:szCs w:val="18"/>
                <w14:textFill>
                  <w14:solidFill>
                    <w14:schemeClr w14:val="tx1"/>
                  </w14:solidFill>
                </w14:textFill>
              </w:rPr>
              <w:t>二乙</w:t>
            </w:r>
          </w:p>
        </w:tc>
        <w:tc>
          <w:tcPr>
            <w:tcW w:w="2244" w:type="dxa"/>
            <w:vAlign w:val="center"/>
          </w:tcPr>
          <w:p w14:paraId="216A6E4C">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2"/>
                <w:sz w:val="18"/>
                <w:szCs w:val="18"/>
                <w:lang w:eastAsia="zh-CN"/>
                <w14:textFill>
                  <w14:solidFill>
                    <w14:schemeClr w14:val="tx1"/>
                  </w14:solidFill>
                </w14:textFill>
              </w:rPr>
              <w:t>诵读与写作</w:t>
            </w:r>
          </w:p>
          <w:p w14:paraId="157D7145">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1"/>
                <w:sz w:val="18"/>
                <w:szCs w:val="18"/>
                <w:lang w:eastAsia="zh-CN"/>
                <w14:textFill>
                  <w14:solidFill>
                    <w14:schemeClr w14:val="tx1"/>
                  </w14:solidFill>
                </w14:textFill>
              </w:rPr>
              <w:t>普通话语言艺术</w:t>
            </w:r>
          </w:p>
        </w:tc>
      </w:tr>
      <w:tr w14:paraId="18B12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jc w:val="center"/>
        </w:trPr>
        <w:tc>
          <w:tcPr>
            <w:tcW w:w="2464" w:type="dxa"/>
            <w:vAlign w:val="center"/>
          </w:tcPr>
          <w:p w14:paraId="2251C3B8">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1"/>
                <w:sz w:val="18"/>
                <w:szCs w:val="18"/>
                <w:lang w:eastAsia="zh-CN"/>
                <w14:textFill>
                  <w14:solidFill>
                    <w14:schemeClr w14:val="tx1"/>
                  </w14:solidFill>
                </w14:textFill>
              </w:rPr>
              <w:t>全国计算机等级</w:t>
            </w:r>
            <w:r>
              <w:rPr>
                <w:rFonts w:hint="eastAsia"/>
                <w:snapToGrid w:val="0"/>
                <w:color w:val="000000" w:themeColor="text1"/>
                <w:spacing w:val="-1"/>
                <w:sz w:val="18"/>
                <w:szCs w:val="18"/>
                <w:lang w:eastAsia="zh-CN"/>
                <w14:textFill>
                  <w14:solidFill>
                    <w14:schemeClr w14:val="tx1"/>
                  </w14:solidFill>
                </w14:textFill>
              </w:rPr>
              <w:t>考试</w:t>
            </w:r>
            <w:r>
              <w:rPr>
                <w:snapToGrid w:val="0"/>
                <w:color w:val="000000" w:themeColor="text1"/>
                <w:spacing w:val="-1"/>
                <w:sz w:val="18"/>
                <w:szCs w:val="18"/>
                <w:lang w:eastAsia="zh-CN"/>
                <w14:textFill>
                  <w14:solidFill>
                    <w14:schemeClr w14:val="tx1"/>
                  </w14:solidFill>
                </w14:textFill>
              </w:rPr>
              <w:t>证书</w:t>
            </w:r>
          </w:p>
        </w:tc>
        <w:tc>
          <w:tcPr>
            <w:tcW w:w="2384" w:type="dxa"/>
            <w:vAlign w:val="center"/>
          </w:tcPr>
          <w:p w14:paraId="6163BB52">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snapToGrid w:val="0"/>
                <w:color w:val="000000" w:themeColor="text1"/>
                <w:spacing w:val="-2"/>
                <w:sz w:val="18"/>
                <w:szCs w:val="18"/>
                <w14:textFill>
                  <w14:solidFill>
                    <w14:schemeClr w14:val="tx1"/>
                  </w14:solidFill>
                </w14:textFill>
              </w:rPr>
              <w:t>教育部</w:t>
            </w:r>
            <w:r>
              <w:rPr>
                <w:rFonts w:hint="eastAsia"/>
                <w:snapToGrid w:val="0"/>
                <w:color w:val="000000" w:themeColor="text1"/>
                <w:spacing w:val="-2"/>
                <w:sz w:val="18"/>
                <w:szCs w:val="18"/>
                <w:lang w:eastAsia="zh-CN"/>
                <w14:textFill>
                  <w14:solidFill>
                    <w14:schemeClr w14:val="tx1"/>
                  </w14:solidFill>
                </w14:textFill>
              </w:rPr>
              <w:t>教育考试院</w:t>
            </w:r>
          </w:p>
        </w:tc>
        <w:tc>
          <w:tcPr>
            <w:tcW w:w="2125" w:type="dxa"/>
            <w:vAlign w:val="center"/>
          </w:tcPr>
          <w:p w14:paraId="35C76EA0">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14:textFill>
                  <w14:solidFill>
                    <w14:schemeClr w14:val="tx1"/>
                  </w14:solidFill>
                </w14:textFill>
              </w:rPr>
            </w:pPr>
            <w:r>
              <w:rPr>
                <w:snapToGrid w:val="0"/>
                <w:color w:val="000000" w:themeColor="text1"/>
                <w:spacing w:val="-6"/>
                <w:sz w:val="18"/>
                <w:szCs w:val="18"/>
                <w14:textFill>
                  <w14:solidFill>
                    <w14:schemeClr w14:val="tx1"/>
                  </w14:solidFill>
                </w14:textFill>
              </w:rPr>
              <w:t>二级</w:t>
            </w:r>
          </w:p>
        </w:tc>
        <w:tc>
          <w:tcPr>
            <w:tcW w:w="2244" w:type="dxa"/>
            <w:vAlign w:val="center"/>
          </w:tcPr>
          <w:p w14:paraId="6DA4CA81">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14:textFill>
                  <w14:solidFill>
                    <w14:schemeClr w14:val="tx1"/>
                  </w14:solidFill>
                </w14:textFill>
              </w:rPr>
            </w:pPr>
            <w:r>
              <w:rPr>
                <w:snapToGrid w:val="0"/>
                <w:color w:val="000000" w:themeColor="text1"/>
                <w:spacing w:val="-2"/>
                <w:sz w:val="18"/>
                <w:szCs w:val="18"/>
                <w14:textFill>
                  <w14:solidFill>
                    <w14:schemeClr w14:val="tx1"/>
                  </w14:solidFill>
                </w14:textFill>
              </w:rPr>
              <w:t>信息技术</w:t>
            </w:r>
          </w:p>
        </w:tc>
      </w:tr>
      <w:tr w14:paraId="53855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663CD613">
            <w:pPr>
              <w:pStyle w:val="22"/>
              <w:keepNext w:val="0"/>
              <w:keepLines w:val="0"/>
              <w:pageBreakBefore w:val="0"/>
              <w:kinsoku/>
              <w:wordWrap/>
              <w:overflowPunct/>
              <w:topLinePunct w:val="0"/>
              <w:autoSpaceDE/>
              <w:autoSpaceDN/>
              <w:bidi w:val="0"/>
              <w:snapToGrid/>
              <w:spacing w:line="240" w:lineRule="auto"/>
              <w:ind w:firstLine="5"/>
              <w:jc w:val="center"/>
              <w:textAlignment w:val="auto"/>
              <w:rPr>
                <w:snapToGrid w:val="0"/>
                <w:color w:val="000000" w:themeColor="text1"/>
                <w:sz w:val="18"/>
                <w:szCs w:val="18"/>
                <w:lang w:eastAsia="zh-CN"/>
                <w14:textFill>
                  <w14:solidFill>
                    <w14:schemeClr w14:val="tx1"/>
                  </w14:solidFill>
                </w14:textFill>
              </w:rPr>
            </w:pPr>
            <w:r>
              <w:rPr>
                <w:rFonts w:hint="eastAsia"/>
                <w:snapToGrid w:val="0"/>
                <w:color w:val="000000" w:themeColor="text1"/>
                <w:sz w:val="18"/>
                <w:szCs w:val="18"/>
                <w:lang w:eastAsia="zh-CN"/>
                <w14:textFill>
                  <w14:solidFill>
                    <w14:schemeClr w14:val="tx1"/>
                  </w14:solidFill>
                </w14:textFill>
              </w:rPr>
              <w:t>全国大学英语四六级考试等级证书</w:t>
            </w:r>
          </w:p>
        </w:tc>
        <w:tc>
          <w:tcPr>
            <w:tcW w:w="2384" w:type="dxa"/>
            <w:vAlign w:val="center"/>
          </w:tcPr>
          <w:p w14:paraId="60F34692">
            <w:pPr>
              <w:pStyle w:val="22"/>
              <w:keepNext w:val="0"/>
              <w:keepLines w:val="0"/>
              <w:pageBreakBefore w:val="0"/>
              <w:kinsoku/>
              <w:wordWrap/>
              <w:overflowPunct/>
              <w:topLinePunct w:val="0"/>
              <w:autoSpaceDE/>
              <w:autoSpaceDN/>
              <w:bidi w:val="0"/>
              <w:snapToGrid/>
              <w:spacing w:line="240" w:lineRule="auto"/>
              <w:ind w:firstLine="2"/>
              <w:jc w:val="center"/>
              <w:textAlignment w:val="auto"/>
              <w:rPr>
                <w:snapToGrid w:val="0"/>
                <w:color w:val="000000" w:themeColor="text1"/>
                <w:sz w:val="18"/>
                <w:szCs w:val="18"/>
                <w14:textFill>
                  <w14:solidFill>
                    <w14:schemeClr w14:val="tx1"/>
                  </w14:solidFill>
                </w14:textFill>
              </w:rPr>
            </w:pPr>
            <w:r>
              <w:rPr>
                <w:snapToGrid w:val="0"/>
                <w:color w:val="000000" w:themeColor="text1"/>
                <w:spacing w:val="-2"/>
                <w:sz w:val="18"/>
                <w:szCs w:val="18"/>
                <w14:textFill>
                  <w14:solidFill>
                    <w14:schemeClr w14:val="tx1"/>
                  </w14:solidFill>
                </w14:textFill>
              </w:rPr>
              <w:t>教育部</w:t>
            </w:r>
            <w:r>
              <w:rPr>
                <w:rFonts w:hint="eastAsia"/>
                <w:snapToGrid w:val="0"/>
                <w:color w:val="000000" w:themeColor="text1"/>
                <w:spacing w:val="-2"/>
                <w:sz w:val="18"/>
                <w:szCs w:val="18"/>
                <w:lang w:eastAsia="zh-CN"/>
                <w14:textFill>
                  <w14:solidFill>
                    <w14:schemeClr w14:val="tx1"/>
                  </w14:solidFill>
                </w14:textFill>
              </w:rPr>
              <w:t>教育考试院</w:t>
            </w:r>
          </w:p>
        </w:tc>
        <w:tc>
          <w:tcPr>
            <w:tcW w:w="2125" w:type="dxa"/>
            <w:vAlign w:val="center"/>
          </w:tcPr>
          <w:p w14:paraId="57E1D895">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lang w:eastAsia="zh-CN"/>
                <w14:textFill>
                  <w14:solidFill>
                    <w14:schemeClr w14:val="tx1"/>
                  </w14:solidFill>
                </w14:textFill>
              </w:rPr>
            </w:pPr>
            <w:r>
              <w:rPr>
                <w:rFonts w:hint="eastAsia"/>
                <w:snapToGrid w:val="0"/>
                <w:color w:val="000000" w:themeColor="text1"/>
                <w:spacing w:val="-1"/>
                <w:sz w:val="18"/>
                <w:szCs w:val="18"/>
                <w:lang w:eastAsia="zh-CN"/>
                <w14:textFill>
                  <w14:solidFill>
                    <w14:schemeClr w14:val="tx1"/>
                  </w14:solidFill>
                </w14:textFill>
              </w:rPr>
              <w:t>425分</w:t>
            </w:r>
          </w:p>
        </w:tc>
        <w:tc>
          <w:tcPr>
            <w:tcW w:w="2244" w:type="dxa"/>
            <w:vAlign w:val="center"/>
          </w:tcPr>
          <w:p w14:paraId="74EE31F2">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000000" w:themeColor="text1"/>
                <w:sz w:val="18"/>
                <w:szCs w:val="18"/>
                <w14:textFill>
                  <w14:solidFill>
                    <w14:schemeClr w14:val="tx1"/>
                  </w14:solidFill>
                </w14:textFill>
              </w:rPr>
            </w:pPr>
            <w:r>
              <w:rPr>
                <w:snapToGrid w:val="0"/>
                <w:color w:val="000000" w:themeColor="text1"/>
                <w:spacing w:val="-3"/>
                <w:sz w:val="18"/>
                <w:szCs w:val="18"/>
                <w14:textFill>
                  <w14:solidFill>
                    <w14:schemeClr w14:val="tx1"/>
                  </w14:solidFill>
                </w14:textFill>
              </w:rPr>
              <w:t>大学英语</w:t>
            </w:r>
          </w:p>
        </w:tc>
      </w:tr>
      <w:tr w14:paraId="674A75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9" w:hRule="atLeast"/>
          <w:jc w:val="center"/>
        </w:trPr>
        <w:tc>
          <w:tcPr>
            <w:tcW w:w="2464" w:type="dxa"/>
            <w:vAlign w:val="center"/>
          </w:tcPr>
          <w:p w14:paraId="057F4E75">
            <w:pPr>
              <w:keepNext w:val="0"/>
              <w:keepLines w:val="0"/>
              <w:pageBreakBefore w:val="0"/>
              <w:widowControl/>
              <w:kinsoku/>
              <w:wordWrap/>
              <w:overflowPunct/>
              <w:topLinePunct w:val="0"/>
              <w:autoSpaceDE/>
              <w:autoSpaceDN/>
              <w:bidi w:val="0"/>
              <w:adjustRightInd w:val="0"/>
              <w:snapToGrid/>
              <w:spacing w:line="240" w:lineRule="auto"/>
              <w:jc w:val="center"/>
              <w:textAlignment w:val="auto"/>
              <w:rPr>
                <w:snapToGrid w:val="0"/>
                <w:color w:val="000000" w:themeColor="text1"/>
                <w:sz w:val="18"/>
                <w:szCs w:val="18"/>
                <w14:textFill>
                  <w14:solidFill>
                    <w14:schemeClr w14:val="tx1"/>
                  </w14:solidFill>
                </w14:textFill>
              </w:rPr>
            </w:pPr>
            <w:r>
              <w:rPr>
                <w:rFonts w:hint="eastAsia" w:ascii="宋体" w:hAnsi="宋体" w:eastAsia="宋体" w:cs="Times New Roman"/>
                <w:snapToGrid w:val="0"/>
                <w:color w:val="000000"/>
                <w:kern w:val="0"/>
                <w:sz w:val="18"/>
                <w:szCs w:val="18"/>
              </w:rPr>
              <w:t>新能源汽车检测与维修职业技能等级证书</w:t>
            </w:r>
          </w:p>
        </w:tc>
        <w:tc>
          <w:tcPr>
            <w:tcW w:w="2384" w:type="dxa"/>
            <w:vAlign w:val="center"/>
          </w:tcPr>
          <w:p w14:paraId="30F6A346">
            <w:pPr>
              <w:pStyle w:val="22"/>
              <w:keepNext w:val="0"/>
              <w:keepLines w:val="0"/>
              <w:pageBreakBefore w:val="0"/>
              <w:kinsoku/>
              <w:wordWrap/>
              <w:overflowPunct/>
              <w:topLinePunct w:val="0"/>
              <w:autoSpaceDE/>
              <w:autoSpaceDN/>
              <w:bidi w:val="0"/>
              <w:snapToGrid/>
              <w:spacing w:line="240" w:lineRule="auto"/>
              <w:ind w:hanging="4"/>
              <w:jc w:val="center"/>
              <w:textAlignment w:val="auto"/>
              <w:rPr>
                <w:snapToGrid w:val="0"/>
                <w:color w:val="auto"/>
                <w:spacing w:val="-2"/>
                <w:sz w:val="18"/>
                <w:szCs w:val="18"/>
              </w:rPr>
            </w:pPr>
            <w:r>
              <w:rPr>
                <w:rFonts w:hint="eastAsia"/>
                <w:snapToGrid w:val="0"/>
                <w:color w:val="auto"/>
                <w:spacing w:val="-2"/>
                <w:sz w:val="18"/>
                <w:szCs w:val="18"/>
              </w:rPr>
              <w:t>教育部认定机构</w:t>
            </w:r>
          </w:p>
        </w:tc>
        <w:tc>
          <w:tcPr>
            <w:tcW w:w="2125" w:type="dxa"/>
            <w:vAlign w:val="center"/>
          </w:tcPr>
          <w:p w14:paraId="297AD37A">
            <w:pPr>
              <w:pStyle w:val="22"/>
              <w:keepNext w:val="0"/>
              <w:keepLines w:val="0"/>
              <w:pageBreakBefore w:val="0"/>
              <w:kinsoku/>
              <w:wordWrap/>
              <w:overflowPunct/>
              <w:topLinePunct w:val="0"/>
              <w:autoSpaceDE/>
              <w:autoSpaceDN/>
              <w:bidi w:val="0"/>
              <w:snapToGrid/>
              <w:spacing w:line="240" w:lineRule="auto"/>
              <w:ind w:firstLine="7"/>
              <w:jc w:val="center"/>
              <w:textAlignment w:val="auto"/>
              <w:rPr>
                <w:snapToGrid w:val="0"/>
                <w:color w:val="auto"/>
                <w:spacing w:val="-1"/>
                <w:sz w:val="18"/>
                <w:szCs w:val="18"/>
                <w:lang w:eastAsia="zh-CN"/>
              </w:rPr>
            </w:pPr>
            <w:r>
              <w:rPr>
                <w:rFonts w:hint="eastAsia"/>
                <w:snapToGrid w:val="0"/>
                <w:color w:val="auto"/>
                <w:spacing w:val="-1"/>
                <w:sz w:val="18"/>
                <w:szCs w:val="18"/>
                <w:lang w:eastAsia="zh-CN"/>
              </w:rPr>
              <w:t>中级</w:t>
            </w:r>
          </w:p>
        </w:tc>
        <w:tc>
          <w:tcPr>
            <w:tcW w:w="2244" w:type="dxa"/>
            <w:vAlign w:val="center"/>
          </w:tcPr>
          <w:p w14:paraId="0C52472B">
            <w:pPr>
              <w:pStyle w:val="22"/>
              <w:keepNext w:val="0"/>
              <w:keepLines w:val="0"/>
              <w:pageBreakBefore w:val="0"/>
              <w:kinsoku/>
              <w:wordWrap/>
              <w:overflowPunct/>
              <w:topLinePunct w:val="0"/>
              <w:autoSpaceDE/>
              <w:autoSpaceDN/>
              <w:bidi w:val="0"/>
              <w:snapToGrid/>
              <w:spacing w:line="240" w:lineRule="auto"/>
              <w:jc w:val="center"/>
              <w:textAlignment w:val="auto"/>
              <w:rPr>
                <w:rFonts w:ascii="Times New Roman" w:hAnsi="Times New Roman" w:cs="Times New Roman"/>
                <w:snapToGrid w:val="0"/>
                <w:color w:val="auto"/>
                <w:sz w:val="18"/>
                <w:szCs w:val="18"/>
                <w:lang w:eastAsia="zh-CN"/>
              </w:rPr>
            </w:pPr>
            <w:r>
              <w:rPr>
                <w:rFonts w:hint="eastAsia" w:ascii="Times New Roman" w:hAnsi="Times New Roman" w:cs="Times New Roman"/>
                <w:snapToGrid w:val="0"/>
                <w:color w:val="auto"/>
                <w:sz w:val="18"/>
                <w:szCs w:val="18"/>
                <w:lang w:eastAsia="zh-CN"/>
              </w:rPr>
              <w:t>新能源汽车综合故障诊断、驱动电机系统检测与维修</w:t>
            </w:r>
          </w:p>
        </w:tc>
      </w:tr>
      <w:tr w14:paraId="30AAFD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5" w:hRule="atLeast"/>
          <w:jc w:val="center"/>
        </w:trPr>
        <w:tc>
          <w:tcPr>
            <w:tcW w:w="2464" w:type="dxa"/>
            <w:vAlign w:val="center"/>
          </w:tcPr>
          <w:p w14:paraId="0FFACC19">
            <w:pPr>
              <w:pStyle w:val="22"/>
              <w:keepNext w:val="0"/>
              <w:keepLines w:val="0"/>
              <w:pageBreakBefore w:val="0"/>
              <w:kinsoku/>
              <w:wordWrap/>
              <w:overflowPunct/>
              <w:topLinePunct w:val="0"/>
              <w:autoSpaceDE/>
              <w:autoSpaceDN/>
              <w:bidi w:val="0"/>
              <w:snapToGrid/>
              <w:spacing w:line="240" w:lineRule="auto"/>
              <w:ind w:firstLine="5"/>
              <w:jc w:val="center"/>
              <w:textAlignment w:val="auto"/>
              <w:rPr>
                <w:snapToGrid w:val="0"/>
                <w:color w:val="auto"/>
                <w:sz w:val="18"/>
                <w:szCs w:val="18"/>
                <w:lang w:eastAsia="zh-CN"/>
              </w:rPr>
            </w:pPr>
            <w:r>
              <w:rPr>
                <w:rFonts w:hint="eastAsia" w:cs="Times New Roman"/>
                <w:snapToGrid w:val="0"/>
                <w:color w:val="000000"/>
                <w:kern w:val="0"/>
                <w:sz w:val="18"/>
                <w:szCs w:val="18"/>
                <w:lang w:eastAsia="zh-CN"/>
              </w:rPr>
              <w:t>低压电工操作证书</w:t>
            </w:r>
          </w:p>
        </w:tc>
        <w:tc>
          <w:tcPr>
            <w:tcW w:w="2384" w:type="dxa"/>
            <w:vAlign w:val="center"/>
          </w:tcPr>
          <w:p w14:paraId="467BA047">
            <w:pPr>
              <w:pStyle w:val="22"/>
              <w:keepNext w:val="0"/>
              <w:keepLines w:val="0"/>
              <w:pageBreakBefore w:val="0"/>
              <w:kinsoku/>
              <w:wordWrap/>
              <w:overflowPunct/>
              <w:topLinePunct w:val="0"/>
              <w:autoSpaceDE/>
              <w:autoSpaceDN/>
              <w:bidi w:val="0"/>
              <w:snapToGrid/>
              <w:spacing w:line="240" w:lineRule="auto"/>
              <w:ind w:firstLine="2"/>
              <w:jc w:val="center"/>
              <w:textAlignment w:val="auto"/>
              <w:rPr>
                <w:snapToGrid w:val="0"/>
                <w:color w:val="auto"/>
                <w:spacing w:val="-2"/>
                <w:sz w:val="18"/>
                <w:szCs w:val="18"/>
              </w:rPr>
            </w:pPr>
            <w:r>
              <w:rPr>
                <w:rFonts w:hint="eastAsia"/>
                <w:snapToGrid w:val="0"/>
                <w:color w:val="auto"/>
                <w:sz w:val="18"/>
                <w:szCs w:val="18"/>
                <w:lang w:eastAsia="zh-CN"/>
              </w:rPr>
              <w:t>应急管理部</w:t>
            </w:r>
          </w:p>
        </w:tc>
        <w:tc>
          <w:tcPr>
            <w:tcW w:w="2125" w:type="dxa"/>
            <w:vAlign w:val="center"/>
          </w:tcPr>
          <w:p w14:paraId="1029C185">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auto"/>
                <w:spacing w:val="-1"/>
                <w:sz w:val="18"/>
                <w:szCs w:val="18"/>
                <w:lang w:eastAsia="zh-CN"/>
              </w:rPr>
            </w:pPr>
            <w:r>
              <w:rPr>
                <w:rFonts w:hint="eastAsia"/>
                <w:snapToGrid w:val="0"/>
                <w:color w:val="auto"/>
                <w:sz w:val="18"/>
                <w:szCs w:val="18"/>
                <w:lang w:eastAsia="zh-CN"/>
              </w:rPr>
              <w:t>中级</w:t>
            </w:r>
          </w:p>
        </w:tc>
        <w:tc>
          <w:tcPr>
            <w:tcW w:w="2244" w:type="dxa"/>
            <w:vAlign w:val="center"/>
          </w:tcPr>
          <w:p w14:paraId="53A7D806">
            <w:pPr>
              <w:pStyle w:val="22"/>
              <w:keepNext w:val="0"/>
              <w:keepLines w:val="0"/>
              <w:pageBreakBefore w:val="0"/>
              <w:kinsoku/>
              <w:wordWrap/>
              <w:overflowPunct/>
              <w:topLinePunct w:val="0"/>
              <w:autoSpaceDE/>
              <w:autoSpaceDN/>
              <w:bidi w:val="0"/>
              <w:snapToGrid/>
              <w:spacing w:line="240" w:lineRule="auto"/>
              <w:jc w:val="center"/>
              <w:textAlignment w:val="auto"/>
              <w:rPr>
                <w:rFonts w:ascii="Times New Roman" w:hAnsi="Times New Roman" w:cs="Times New Roman"/>
                <w:snapToGrid w:val="0"/>
                <w:color w:val="auto"/>
                <w:sz w:val="18"/>
                <w:szCs w:val="18"/>
                <w:lang w:eastAsia="zh-CN"/>
              </w:rPr>
            </w:pPr>
            <w:r>
              <w:rPr>
                <w:rFonts w:hint="eastAsia" w:ascii="Times New Roman" w:hAnsi="Times New Roman" w:cs="Times New Roman"/>
                <w:snapToGrid w:val="0"/>
                <w:color w:val="auto"/>
                <w:sz w:val="18"/>
                <w:szCs w:val="18"/>
                <w:lang w:eastAsia="zh-CN"/>
              </w:rPr>
              <w:t>新能源汽车电力电子技术</w:t>
            </w:r>
          </w:p>
        </w:tc>
      </w:tr>
      <w:tr w14:paraId="342E4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0ACDEAB2">
            <w:pPr>
              <w:pStyle w:val="22"/>
              <w:keepNext w:val="0"/>
              <w:keepLines w:val="0"/>
              <w:pageBreakBefore w:val="0"/>
              <w:kinsoku/>
              <w:wordWrap/>
              <w:overflowPunct/>
              <w:topLinePunct w:val="0"/>
              <w:autoSpaceDE/>
              <w:autoSpaceDN/>
              <w:bidi w:val="0"/>
              <w:snapToGrid/>
              <w:spacing w:line="240" w:lineRule="auto"/>
              <w:ind w:firstLine="5"/>
              <w:jc w:val="center"/>
              <w:textAlignment w:val="auto"/>
              <w:rPr>
                <w:rFonts w:cs="Times New Roman"/>
                <w:snapToGrid w:val="0"/>
                <w:color w:val="000000"/>
                <w:kern w:val="0"/>
                <w:sz w:val="18"/>
                <w:szCs w:val="18"/>
                <w:lang w:eastAsia="zh-CN"/>
              </w:rPr>
            </w:pPr>
            <w:r>
              <w:rPr>
                <w:rFonts w:hint="eastAsia" w:cs="Times New Roman"/>
                <w:snapToGrid w:val="0"/>
                <w:color w:val="000000"/>
                <w:kern w:val="0"/>
                <w:sz w:val="18"/>
                <w:szCs w:val="18"/>
                <w:lang w:eastAsia="zh-CN"/>
              </w:rPr>
              <w:t>二手车鉴定评估师</w:t>
            </w:r>
          </w:p>
        </w:tc>
        <w:tc>
          <w:tcPr>
            <w:tcW w:w="2384" w:type="dxa"/>
            <w:vAlign w:val="center"/>
          </w:tcPr>
          <w:p w14:paraId="68E5AA83">
            <w:pPr>
              <w:pStyle w:val="22"/>
              <w:keepNext w:val="0"/>
              <w:keepLines w:val="0"/>
              <w:pageBreakBefore w:val="0"/>
              <w:kinsoku/>
              <w:wordWrap/>
              <w:overflowPunct/>
              <w:topLinePunct w:val="0"/>
              <w:autoSpaceDE/>
              <w:autoSpaceDN/>
              <w:bidi w:val="0"/>
              <w:snapToGrid/>
              <w:spacing w:line="240" w:lineRule="auto"/>
              <w:ind w:firstLine="2"/>
              <w:jc w:val="center"/>
              <w:textAlignment w:val="auto"/>
              <w:rPr>
                <w:snapToGrid w:val="0"/>
                <w:color w:val="000000"/>
                <w:sz w:val="18"/>
                <w:szCs w:val="18"/>
                <w:lang w:eastAsia="zh-CN"/>
              </w:rPr>
            </w:pPr>
            <w:r>
              <w:rPr>
                <w:rFonts w:hint="eastAsia"/>
                <w:snapToGrid w:val="0"/>
                <w:color w:val="000000"/>
                <w:sz w:val="18"/>
                <w:szCs w:val="18"/>
                <w:lang w:eastAsia="zh-CN"/>
              </w:rPr>
              <w:t>行业协会</w:t>
            </w:r>
          </w:p>
        </w:tc>
        <w:tc>
          <w:tcPr>
            <w:tcW w:w="2125" w:type="dxa"/>
            <w:vAlign w:val="center"/>
          </w:tcPr>
          <w:p w14:paraId="7EC24ED9">
            <w:pPr>
              <w:pStyle w:val="22"/>
              <w:keepNext w:val="0"/>
              <w:keepLines w:val="0"/>
              <w:pageBreakBefore w:val="0"/>
              <w:kinsoku/>
              <w:wordWrap/>
              <w:overflowPunct/>
              <w:topLinePunct w:val="0"/>
              <w:autoSpaceDE/>
              <w:autoSpaceDN/>
              <w:bidi w:val="0"/>
              <w:snapToGrid/>
              <w:spacing w:line="240" w:lineRule="auto"/>
              <w:jc w:val="center"/>
              <w:textAlignment w:val="auto"/>
              <w:rPr>
                <w:snapToGrid w:val="0"/>
                <w:color w:val="auto"/>
                <w:sz w:val="18"/>
                <w:szCs w:val="18"/>
                <w:lang w:eastAsia="zh-CN"/>
              </w:rPr>
            </w:pPr>
            <w:r>
              <w:rPr>
                <w:rFonts w:hint="eastAsia"/>
                <w:snapToGrid w:val="0"/>
                <w:color w:val="000000"/>
                <w:sz w:val="18"/>
                <w:szCs w:val="18"/>
                <w:lang w:eastAsia="zh-CN"/>
              </w:rPr>
              <w:t>中级</w:t>
            </w:r>
          </w:p>
        </w:tc>
        <w:tc>
          <w:tcPr>
            <w:tcW w:w="2244" w:type="dxa"/>
            <w:vAlign w:val="center"/>
          </w:tcPr>
          <w:p w14:paraId="5285A4F4">
            <w:pPr>
              <w:pStyle w:val="22"/>
              <w:keepNext w:val="0"/>
              <w:keepLines w:val="0"/>
              <w:pageBreakBefore w:val="0"/>
              <w:kinsoku/>
              <w:wordWrap/>
              <w:overflowPunct/>
              <w:topLinePunct w:val="0"/>
              <w:autoSpaceDE/>
              <w:autoSpaceDN/>
              <w:bidi w:val="0"/>
              <w:snapToGrid/>
              <w:spacing w:line="240" w:lineRule="auto"/>
              <w:jc w:val="center"/>
              <w:textAlignment w:val="auto"/>
              <w:rPr>
                <w:rFonts w:ascii="Times New Roman" w:hAnsi="Times New Roman" w:cs="Times New Roman"/>
                <w:snapToGrid w:val="0"/>
                <w:color w:val="000000"/>
                <w:sz w:val="18"/>
                <w:szCs w:val="18"/>
                <w:lang w:eastAsia="zh-CN"/>
              </w:rPr>
            </w:pPr>
            <w:r>
              <w:rPr>
                <w:rFonts w:hint="eastAsia" w:ascii="Times New Roman" w:hAnsi="Times New Roman" w:cs="Times New Roman"/>
                <w:snapToGrid w:val="0"/>
                <w:color w:val="000000"/>
                <w:sz w:val="18"/>
                <w:szCs w:val="18"/>
                <w:lang w:eastAsia="zh-CN"/>
              </w:rPr>
              <w:t>二手车鉴定与评估、动力电池管理及维护技术</w:t>
            </w:r>
          </w:p>
        </w:tc>
      </w:tr>
    </w:tbl>
    <w:p w14:paraId="00B6A82E">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（五）课赛融通</w:t>
      </w:r>
    </w:p>
    <w:p w14:paraId="2AB7B116">
      <w:pPr>
        <w:pStyle w:val="7"/>
        <w:spacing w:line="400" w:lineRule="exact"/>
        <w:ind w:firstLine="481"/>
        <w:rPr>
          <w:bCs/>
          <w:sz w:val="21"/>
          <w:szCs w:val="21"/>
          <w:lang w:eastAsia="zh-CN"/>
        </w:rPr>
      </w:pPr>
      <w:r>
        <w:rPr>
          <w:rFonts w:hint="eastAsia"/>
          <w:bCs/>
          <w:sz w:val="21"/>
          <w:szCs w:val="21"/>
          <w:lang w:eastAsia="zh-CN"/>
        </w:rPr>
        <w:t>本专业相关的竞赛如表6所示。</w:t>
      </w:r>
    </w:p>
    <w:p w14:paraId="2297AFE4">
      <w:pPr>
        <w:pStyle w:val="2"/>
        <w:spacing w:before="0" w:after="0" w:line="400" w:lineRule="exact"/>
        <w:ind w:firstLine="0" w:firstLineChars="0"/>
        <w:jc w:val="center"/>
      </w:pPr>
      <w:r>
        <w:rPr>
          <w:rFonts w:hint="eastAsia" w:ascii="黑体" w:hAnsi="黑体" w:eastAsia="黑体" w:cs="黑体"/>
          <w:color w:val="000000"/>
          <w:kern w:val="0"/>
          <w:szCs w:val="21"/>
        </w:rPr>
        <w:t>表6  课赛融通表</w:t>
      </w:r>
    </w:p>
    <w:tbl>
      <w:tblPr>
        <w:tblStyle w:val="19"/>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65"/>
        <w:gridCol w:w="1520"/>
        <w:gridCol w:w="3185"/>
        <w:gridCol w:w="2546"/>
      </w:tblGrid>
      <w:tr w14:paraId="38640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3" w:hRule="atLeast"/>
          <w:jc w:val="center"/>
        </w:trPr>
        <w:tc>
          <w:tcPr>
            <w:tcW w:w="2065" w:type="dxa"/>
            <w:vAlign w:val="center"/>
          </w:tcPr>
          <w:p w14:paraId="07A15F51">
            <w:pPr>
              <w:adjustRightInd w:val="0"/>
              <w:spacing w:line="240" w:lineRule="exact"/>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赛项名称</w:t>
            </w:r>
          </w:p>
        </w:tc>
        <w:tc>
          <w:tcPr>
            <w:tcW w:w="1520" w:type="dxa"/>
            <w:vAlign w:val="center"/>
          </w:tcPr>
          <w:p w14:paraId="71CD2E7C">
            <w:pPr>
              <w:adjustRightInd w:val="0"/>
              <w:spacing w:line="240" w:lineRule="exact"/>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组织机构</w:t>
            </w:r>
          </w:p>
        </w:tc>
        <w:tc>
          <w:tcPr>
            <w:tcW w:w="3185" w:type="dxa"/>
            <w:vAlign w:val="center"/>
          </w:tcPr>
          <w:p w14:paraId="4CEF3AA1">
            <w:pPr>
              <w:adjustRightInd w:val="0"/>
              <w:spacing w:line="240" w:lineRule="exact"/>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主要内容</w:t>
            </w:r>
          </w:p>
        </w:tc>
        <w:tc>
          <w:tcPr>
            <w:tcW w:w="2546" w:type="dxa"/>
            <w:vAlign w:val="center"/>
          </w:tcPr>
          <w:p w14:paraId="25330090">
            <w:pPr>
              <w:adjustRightInd w:val="0"/>
              <w:spacing w:line="240" w:lineRule="exact"/>
              <w:jc w:val="center"/>
              <w:rPr>
                <w:rFonts w:ascii="Times New Roman" w:hAnsi="Times New Roman" w:eastAsia="黑体" w:cs="Times New Roman"/>
                <w:bCs/>
                <w:snapToGrid w:val="0"/>
                <w:color w:val="auto"/>
                <w:sz w:val="18"/>
                <w:szCs w:val="18"/>
              </w:rPr>
            </w:pPr>
            <w:r>
              <w:rPr>
                <w:rFonts w:hint="eastAsia" w:ascii="Times New Roman" w:hAnsi="Times New Roman" w:eastAsia="黑体" w:cs="Times New Roman"/>
                <w:bCs/>
                <w:snapToGrid w:val="0"/>
                <w:color w:val="auto"/>
                <w:sz w:val="18"/>
                <w:szCs w:val="18"/>
              </w:rPr>
              <w:t>融通课程</w:t>
            </w:r>
          </w:p>
        </w:tc>
      </w:tr>
      <w:tr w14:paraId="610F67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90" w:hRule="atLeast"/>
          <w:jc w:val="center"/>
        </w:trPr>
        <w:tc>
          <w:tcPr>
            <w:tcW w:w="2065" w:type="dxa"/>
            <w:vAlign w:val="center"/>
          </w:tcPr>
          <w:p w14:paraId="71E4E6D3">
            <w:pPr>
              <w:pStyle w:val="22"/>
              <w:jc w:val="center"/>
              <w:rPr>
                <w:snapToGrid w:val="0"/>
                <w:color w:val="auto"/>
                <w:spacing w:val="-2"/>
                <w:sz w:val="18"/>
                <w:szCs w:val="18"/>
                <w:lang w:eastAsia="zh-CN"/>
              </w:rPr>
            </w:pPr>
            <w:r>
              <w:rPr>
                <w:rFonts w:hint="eastAsia"/>
                <w:snapToGrid w:val="0"/>
                <w:color w:val="auto"/>
                <w:spacing w:val="-2"/>
                <w:sz w:val="18"/>
                <w:szCs w:val="18"/>
                <w:lang w:eastAsia="zh-CN"/>
              </w:rPr>
              <w:t>新能源汽车驱动电机及控制技术</w:t>
            </w:r>
          </w:p>
        </w:tc>
        <w:tc>
          <w:tcPr>
            <w:tcW w:w="1520" w:type="dxa"/>
            <w:vAlign w:val="center"/>
          </w:tcPr>
          <w:p w14:paraId="7FABB067">
            <w:pPr>
              <w:pStyle w:val="22"/>
              <w:jc w:val="center"/>
              <w:rPr>
                <w:snapToGrid w:val="0"/>
                <w:color w:val="auto"/>
                <w:spacing w:val="-2"/>
                <w:sz w:val="18"/>
                <w:szCs w:val="18"/>
                <w:lang w:eastAsia="zh-CN"/>
              </w:rPr>
            </w:pPr>
            <w:r>
              <w:rPr>
                <w:rFonts w:hint="eastAsia"/>
                <w:snapToGrid w:val="0"/>
                <w:color w:val="auto"/>
                <w:spacing w:val="-2"/>
                <w:sz w:val="18"/>
                <w:szCs w:val="18"/>
                <w:lang w:eastAsia="zh-CN"/>
              </w:rPr>
              <w:t>金砖国家技能发展与技术创新大赛组委会</w:t>
            </w:r>
          </w:p>
          <w:p w14:paraId="6CD3E653">
            <w:pPr>
              <w:pStyle w:val="22"/>
              <w:jc w:val="center"/>
              <w:rPr>
                <w:snapToGrid w:val="0"/>
                <w:color w:val="auto"/>
                <w:spacing w:val="-2"/>
                <w:sz w:val="18"/>
                <w:szCs w:val="18"/>
                <w:lang w:eastAsia="zh-CN"/>
              </w:rPr>
            </w:pPr>
            <w:r>
              <w:rPr>
                <w:rFonts w:hint="eastAsia"/>
                <w:snapToGrid w:val="0"/>
                <w:color w:val="auto"/>
                <w:spacing w:val="-2"/>
                <w:sz w:val="18"/>
                <w:szCs w:val="18"/>
                <w:lang w:eastAsia="zh-CN"/>
              </w:rPr>
              <w:t>一带一路暨金砖国家技能发展国际联盟</w:t>
            </w:r>
          </w:p>
        </w:tc>
        <w:tc>
          <w:tcPr>
            <w:tcW w:w="3185" w:type="dxa"/>
            <w:vAlign w:val="center"/>
          </w:tcPr>
          <w:p w14:paraId="0F3F65C0">
            <w:pPr>
              <w:pStyle w:val="22"/>
              <w:jc w:val="left"/>
              <w:rPr>
                <w:snapToGrid w:val="0"/>
                <w:color w:val="auto"/>
                <w:spacing w:val="-2"/>
                <w:sz w:val="18"/>
                <w:szCs w:val="18"/>
                <w:lang w:eastAsia="zh-CN"/>
              </w:rPr>
            </w:pPr>
            <w:r>
              <w:rPr>
                <w:snapToGrid w:val="0"/>
                <w:color w:val="auto"/>
                <w:spacing w:val="-2"/>
                <w:sz w:val="18"/>
                <w:szCs w:val="18"/>
                <w:lang w:eastAsia="zh-CN"/>
              </w:rPr>
              <w:t>1.</w:t>
            </w:r>
            <w:r>
              <w:rPr>
                <w:rFonts w:hint="eastAsia"/>
                <w:snapToGrid w:val="0"/>
                <w:color w:val="auto"/>
                <w:spacing w:val="-2"/>
                <w:sz w:val="18"/>
                <w:szCs w:val="18"/>
                <w:lang w:eastAsia="zh-CN"/>
              </w:rPr>
              <w:t>动力总成拆装；</w:t>
            </w:r>
          </w:p>
          <w:p w14:paraId="6C56D984">
            <w:pPr>
              <w:pStyle w:val="22"/>
              <w:jc w:val="left"/>
              <w:rPr>
                <w:snapToGrid w:val="0"/>
                <w:color w:val="auto"/>
                <w:spacing w:val="-2"/>
                <w:sz w:val="18"/>
                <w:szCs w:val="18"/>
                <w:lang w:eastAsia="zh-CN"/>
              </w:rPr>
            </w:pPr>
            <w:r>
              <w:rPr>
                <w:snapToGrid w:val="0"/>
                <w:color w:val="auto"/>
                <w:spacing w:val="-2"/>
                <w:sz w:val="18"/>
                <w:szCs w:val="18"/>
                <w:lang w:eastAsia="zh-CN"/>
              </w:rPr>
              <w:t>2.</w:t>
            </w:r>
            <w:r>
              <w:rPr>
                <w:rFonts w:hint="eastAsia"/>
                <w:snapToGrid w:val="0"/>
                <w:color w:val="auto"/>
                <w:spacing w:val="-2"/>
                <w:sz w:val="18"/>
                <w:szCs w:val="18"/>
                <w:lang w:eastAsia="zh-CN"/>
              </w:rPr>
              <w:t>八合一智能前驱动控制器拆装；</w:t>
            </w:r>
          </w:p>
          <w:p w14:paraId="6D99A3C6">
            <w:pPr>
              <w:pStyle w:val="22"/>
              <w:jc w:val="left"/>
              <w:rPr>
                <w:snapToGrid w:val="0"/>
                <w:color w:val="auto"/>
                <w:spacing w:val="-2"/>
                <w:sz w:val="18"/>
                <w:szCs w:val="18"/>
                <w:lang w:eastAsia="zh-CN"/>
              </w:rPr>
            </w:pPr>
            <w:r>
              <w:rPr>
                <w:snapToGrid w:val="0"/>
                <w:color w:val="auto"/>
                <w:spacing w:val="-2"/>
                <w:sz w:val="18"/>
                <w:szCs w:val="18"/>
                <w:lang w:eastAsia="zh-CN"/>
              </w:rPr>
              <w:t>3.</w:t>
            </w:r>
            <w:r>
              <w:rPr>
                <w:rFonts w:hint="eastAsia"/>
                <w:snapToGrid w:val="0"/>
                <w:color w:val="auto"/>
                <w:spacing w:val="-2"/>
                <w:sz w:val="18"/>
                <w:szCs w:val="18"/>
                <w:lang w:eastAsia="zh-CN"/>
              </w:rPr>
              <w:t>变速器拆装；</w:t>
            </w:r>
          </w:p>
          <w:p w14:paraId="5B2D5975">
            <w:pPr>
              <w:pStyle w:val="22"/>
              <w:jc w:val="left"/>
              <w:rPr>
                <w:snapToGrid w:val="0"/>
                <w:color w:val="auto"/>
                <w:spacing w:val="-2"/>
                <w:sz w:val="18"/>
                <w:szCs w:val="18"/>
                <w:lang w:eastAsia="zh-CN"/>
              </w:rPr>
            </w:pPr>
            <w:r>
              <w:rPr>
                <w:snapToGrid w:val="0"/>
                <w:color w:val="auto"/>
                <w:spacing w:val="-2"/>
                <w:sz w:val="18"/>
                <w:szCs w:val="18"/>
                <w:lang w:eastAsia="zh-CN"/>
              </w:rPr>
              <w:t>4.</w:t>
            </w:r>
            <w:r>
              <w:rPr>
                <w:rFonts w:hint="eastAsia"/>
                <w:snapToGrid w:val="0"/>
                <w:color w:val="auto"/>
                <w:spacing w:val="-2"/>
                <w:sz w:val="18"/>
                <w:szCs w:val="18"/>
                <w:lang w:eastAsia="zh-CN"/>
              </w:rPr>
              <w:t>变速器组件测量；</w:t>
            </w:r>
          </w:p>
          <w:p w14:paraId="3E8F86FF">
            <w:pPr>
              <w:pStyle w:val="22"/>
              <w:jc w:val="left"/>
              <w:rPr>
                <w:snapToGrid w:val="0"/>
                <w:color w:val="auto"/>
                <w:spacing w:val="-2"/>
                <w:sz w:val="18"/>
                <w:szCs w:val="18"/>
                <w:lang w:eastAsia="zh-CN"/>
              </w:rPr>
            </w:pPr>
            <w:r>
              <w:rPr>
                <w:snapToGrid w:val="0"/>
                <w:color w:val="auto"/>
                <w:spacing w:val="-2"/>
                <w:sz w:val="18"/>
                <w:szCs w:val="18"/>
                <w:lang w:eastAsia="zh-CN"/>
              </w:rPr>
              <w:t>5.</w:t>
            </w:r>
            <w:r>
              <w:rPr>
                <w:rFonts w:hint="eastAsia"/>
                <w:snapToGrid w:val="0"/>
                <w:color w:val="auto"/>
                <w:spacing w:val="-2"/>
                <w:sz w:val="18"/>
                <w:szCs w:val="18"/>
                <w:lang w:eastAsia="zh-CN"/>
              </w:rPr>
              <w:t>驱动系统静态测试；</w:t>
            </w:r>
          </w:p>
          <w:p w14:paraId="55E1DE5F">
            <w:pPr>
              <w:pStyle w:val="22"/>
              <w:jc w:val="left"/>
              <w:rPr>
                <w:snapToGrid w:val="0"/>
                <w:color w:val="auto"/>
                <w:spacing w:val="-2"/>
                <w:sz w:val="18"/>
                <w:szCs w:val="18"/>
                <w:lang w:eastAsia="zh-CN"/>
              </w:rPr>
            </w:pPr>
            <w:r>
              <w:rPr>
                <w:snapToGrid w:val="0"/>
                <w:color w:val="auto"/>
                <w:spacing w:val="-2"/>
                <w:sz w:val="18"/>
                <w:szCs w:val="18"/>
                <w:lang w:eastAsia="zh-CN"/>
              </w:rPr>
              <w:t>6.</w:t>
            </w:r>
            <w:r>
              <w:rPr>
                <w:rFonts w:hint="eastAsia"/>
                <w:snapToGrid w:val="0"/>
                <w:color w:val="auto"/>
                <w:spacing w:val="-2"/>
                <w:sz w:val="18"/>
                <w:szCs w:val="18"/>
                <w:lang w:eastAsia="zh-CN"/>
              </w:rPr>
              <w:t>动力电池包拆装；</w:t>
            </w:r>
          </w:p>
          <w:p w14:paraId="1251C2D4">
            <w:pPr>
              <w:pStyle w:val="22"/>
              <w:jc w:val="left"/>
              <w:rPr>
                <w:snapToGrid w:val="0"/>
                <w:color w:val="auto"/>
                <w:spacing w:val="-2"/>
                <w:sz w:val="18"/>
                <w:szCs w:val="18"/>
                <w:lang w:eastAsia="zh-CN"/>
              </w:rPr>
            </w:pPr>
            <w:r>
              <w:rPr>
                <w:snapToGrid w:val="0"/>
                <w:color w:val="auto"/>
                <w:spacing w:val="-2"/>
                <w:sz w:val="18"/>
                <w:szCs w:val="18"/>
                <w:lang w:eastAsia="zh-CN"/>
              </w:rPr>
              <w:t>7.</w:t>
            </w:r>
            <w:r>
              <w:rPr>
                <w:rFonts w:hint="eastAsia"/>
                <w:snapToGrid w:val="0"/>
                <w:color w:val="auto"/>
                <w:spacing w:val="-2"/>
                <w:sz w:val="18"/>
                <w:szCs w:val="18"/>
                <w:lang w:eastAsia="zh-CN"/>
              </w:rPr>
              <w:t>驱动电机旋变故障；</w:t>
            </w:r>
          </w:p>
          <w:p w14:paraId="2D2F4BC1">
            <w:pPr>
              <w:pStyle w:val="22"/>
              <w:jc w:val="left"/>
              <w:rPr>
                <w:snapToGrid w:val="0"/>
                <w:color w:val="auto"/>
                <w:spacing w:val="-2"/>
                <w:sz w:val="18"/>
                <w:szCs w:val="18"/>
                <w:lang w:eastAsia="zh-CN"/>
              </w:rPr>
            </w:pPr>
            <w:r>
              <w:rPr>
                <w:snapToGrid w:val="0"/>
                <w:color w:val="auto"/>
                <w:spacing w:val="-2"/>
                <w:sz w:val="18"/>
                <w:szCs w:val="18"/>
                <w:lang w:eastAsia="zh-CN"/>
              </w:rPr>
              <w:t>8.</w:t>
            </w:r>
            <w:r>
              <w:rPr>
                <w:rFonts w:hint="eastAsia"/>
                <w:snapToGrid w:val="0"/>
                <w:color w:val="auto"/>
                <w:spacing w:val="-2"/>
                <w:sz w:val="18"/>
                <w:szCs w:val="18"/>
                <w:lang w:eastAsia="zh-CN"/>
              </w:rPr>
              <w:t>驱动电机过温故障；</w:t>
            </w:r>
          </w:p>
          <w:p w14:paraId="21232796">
            <w:pPr>
              <w:pStyle w:val="22"/>
              <w:jc w:val="left"/>
              <w:rPr>
                <w:snapToGrid w:val="0"/>
                <w:color w:val="auto"/>
                <w:spacing w:val="-2"/>
                <w:sz w:val="18"/>
                <w:szCs w:val="18"/>
                <w:lang w:eastAsia="zh-CN"/>
              </w:rPr>
            </w:pPr>
            <w:r>
              <w:rPr>
                <w:snapToGrid w:val="0"/>
                <w:color w:val="auto"/>
                <w:spacing w:val="-2"/>
                <w:sz w:val="18"/>
                <w:szCs w:val="18"/>
                <w:lang w:eastAsia="zh-CN"/>
              </w:rPr>
              <w:t>9.</w:t>
            </w:r>
            <w:r>
              <w:rPr>
                <w:rFonts w:hint="eastAsia"/>
                <w:snapToGrid w:val="0"/>
                <w:color w:val="auto"/>
                <w:spacing w:val="-2"/>
                <w:sz w:val="18"/>
                <w:szCs w:val="18"/>
                <w:lang w:eastAsia="zh-CN"/>
              </w:rPr>
              <w:t>前驱动电机控制器碰撞信号故障；</w:t>
            </w:r>
          </w:p>
          <w:p w14:paraId="1B2466C0">
            <w:pPr>
              <w:pStyle w:val="22"/>
              <w:jc w:val="left"/>
              <w:rPr>
                <w:snapToGrid w:val="0"/>
                <w:color w:val="auto"/>
                <w:spacing w:val="-2"/>
                <w:sz w:val="18"/>
                <w:szCs w:val="18"/>
                <w:lang w:eastAsia="zh-CN"/>
              </w:rPr>
            </w:pPr>
            <w:r>
              <w:rPr>
                <w:rFonts w:hint="eastAsia"/>
                <w:snapToGrid w:val="0"/>
                <w:color w:val="auto"/>
                <w:spacing w:val="-2"/>
                <w:sz w:val="18"/>
                <w:szCs w:val="18"/>
                <w:lang w:eastAsia="zh-CN"/>
              </w:rPr>
              <w:t>10.前驱动电机控制器冷却系统故障；</w:t>
            </w:r>
          </w:p>
          <w:p w14:paraId="538F1587">
            <w:pPr>
              <w:pStyle w:val="22"/>
              <w:jc w:val="left"/>
              <w:rPr>
                <w:snapToGrid w:val="0"/>
                <w:color w:val="auto"/>
                <w:spacing w:val="-2"/>
                <w:sz w:val="18"/>
                <w:szCs w:val="18"/>
                <w:lang w:eastAsia="zh-CN"/>
              </w:rPr>
            </w:pPr>
            <w:r>
              <w:rPr>
                <w:rFonts w:hint="eastAsia"/>
                <w:snapToGrid w:val="0"/>
                <w:color w:val="auto"/>
                <w:spacing w:val="-2"/>
                <w:sz w:val="18"/>
                <w:szCs w:val="18"/>
                <w:lang w:eastAsia="zh-CN"/>
              </w:rPr>
              <w:t>11.动力电池绝缘故障</w:t>
            </w:r>
          </w:p>
          <w:p w14:paraId="17A9C23D">
            <w:pPr>
              <w:pStyle w:val="22"/>
              <w:jc w:val="left"/>
              <w:rPr>
                <w:snapToGrid w:val="0"/>
                <w:color w:val="auto"/>
                <w:spacing w:val="-2"/>
                <w:sz w:val="18"/>
                <w:szCs w:val="18"/>
                <w:lang w:eastAsia="zh-CN"/>
              </w:rPr>
            </w:pPr>
            <w:r>
              <w:rPr>
                <w:rFonts w:hint="eastAsia"/>
                <w:snapToGrid w:val="0"/>
                <w:color w:val="auto"/>
                <w:spacing w:val="-2"/>
                <w:sz w:val="18"/>
                <w:szCs w:val="18"/>
                <w:lang w:eastAsia="zh-CN"/>
              </w:rPr>
              <w:t>12.动力电池高压互锁故障检测；</w:t>
            </w:r>
          </w:p>
          <w:p w14:paraId="2C3250DF">
            <w:pPr>
              <w:pStyle w:val="22"/>
              <w:jc w:val="left"/>
              <w:rPr>
                <w:snapToGrid w:val="0"/>
                <w:color w:val="auto"/>
                <w:spacing w:val="-2"/>
                <w:sz w:val="18"/>
                <w:szCs w:val="18"/>
                <w:lang w:eastAsia="zh-CN"/>
              </w:rPr>
            </w:pPr>
            <w:r>
              <w:rPr>
                <w:rFonts w:hint="eastAsia"/>
                <w:snapToGrid w:val="0"/>
                <w:color w:val="auto"/>
                <w:spacing w:val="-2"/>
                <w:sz w:val="18"/>
                <w:szCs w:val="18"/>
                <w:lang w:eastAsia="zh-CN"/>
              </w:rPr>
              <w:t>13.动力电池欠压故障检测。</w:t>
            </w:r>
          </w:p>
        </w:tc>
        <w:tc>
          <w:tcPr>
            <w:tcW w:w="2546" w:type="dxa"/>
            <w:vAlign w:val="center"/>
          </w:tcPr>
          <w:p w14:paraId="0512F2AE">
            <w:pPr>
              <w:pStyle w:val="22"/>
              <w:jc w:val="left"/>
              <w:rPr>
                <w:snapToGrid w:val="0"/>
                <w:color w:val="auto"/>
                <w:spacing w:val="-2"/>
                <w:sz w:val="18"/>
                <w:szCs w:val="18"/>
                <w:lang w:eastAsia="zh-CN"/>
              </w:rPr>
            </w:pPr>
            <w:r>
              <w:rPr>
                <w:rFonts w:hint="eastAsia" w:ascii="Times New Roman" w:hAnsi="Times New Roman" w:cs="Times New Roman"/>
                <w:snapToGrid w:val="0"/>
                <w:color w:val="auto"/>
                <w:sz w:val="18"/>
                <w:szCs w:val="18"/>
                <w:lang w:eastAsia="zh-CN"/>
              </w:rPr>
              <w:t>新能源汽车底盘技术及检修、汽车电子控制原理及技术应用、驱动电机系统检测与维修、动力电池管理及维护技术、新能源汽车综合故障诊断、新能源汽车充电设备的维护</w:t>
            </w:r>
          </w:p>
        </w:tc>
      </w:tr>
      <w:tr w14:paraId="71DB0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89" w:hRule="atLeast"/>
          <w:jc w:val="center"/>
        </w:trPr>
        <w:tc>
          <w:tcPr>
            <w:tcW w:w="2065" w:type="dxa"/>
            <w:vAlign w:val="center"/>
          </w:tcPr>
          <w:p w14:paraId="468BA0C8">
            <w:pPr>
              <w:pStyle w:val="22"/>
              <w:jc w:val="center"/>
              <w:rPr>
                <w:snapToGrid w:val="0"/>
                <w:color w:val="000000"/>
                <w:spacing w:val="-2"/>
                <w:sz w:val="18"/>
                <w:szCs w:val="18"/>
                <w:lang w:eastAsia="zh-CN"/>
              </w:rPr>
            </w:pPr>
            <w:r>
              <w:rPr>
                <w:rFonts w:hint="eastAsia"/>
                <w:snapToGrid w:val="0"/>
                <w:color w:val="000000"/>
                <w:spacing w:val="-2"/>
                <w:sz w:val="18"/>
                <w:szCs w:val="18"/>
                <w:lang w:eastAsia="zh-CN"/>
              </w:rPr>
              <w:t>“巴哈大赛” 新能源组</w:t>
            </w:r>
          </w:p>
        </w:tc>
        <w:tc>
          <w:tcPr>
            <w:tcW w:w="1520" w:type="dxa"/>
            <w:vAlign w:val="center"/>
          </w:tcPr>
          <w:p w14:paraId="1C294F85">
            <w:pPr>
              <w:pStyle w:val="22"/>
              <w:jc w:val="center"/>
              <w:rPr>
                <w:snapToGrid w:val="0"/>
                <w:color w:val="000000"/>
                <w:spacing w:val="-2"/>
                <w:sz w:val="18"/>
                <w:szCs w:val="18"/>
                <w:lang w:eastAsia="zh-CN"/>
              </w:rPr>
            </w:pPr>
            <w:r>
              <w:rPr>
                <w:rFonts w:hint="eastAsia"/>
                <w:snapToGrid w:val="0"/>
                <w:color w:val="000000"/>
                <w:spacing w:val="-2"/>
                <w:sz w:val="18"/>
                <w:szCs w:val="18"/>
                <w:lang w:eastAsia="zh-CN"/>
              </w:rPr>
              <w:t>中国汽车工程学会</w:t>
            </w:r>
          </w:p>
        </w:tc>
        <w:tc>
          <w:tcPr>
            <w:tcW w:w="3185" w:type="dxa"/>
            <w:vAlign w:val="center"/>
          </w:tcPr>
          <w:p w14:paraId="2C27FF4C">
            <w:pPr>
              <w:pStyle w:val="22"/>
              <w:jc w:val="left"/>
              <w:rPr>
                <w:snapToGrid w:val="0"/>
                <w:color w:val="000000"/>
                <w:spacing w:val="-2"/>
                <w:sz w:val="18"/>
                <w:szCs w:val="18"/>
                <w:lang w:eastAsia="zh-CN"/>
              </w:rPr>
            </w:pPr>
            <w:r>
              <w:rPr>
                <w:snapToGrid w:val="0"/>
                <w:color w:val="auto"/>
                <w:spacing w:val="-2"/>
                <w:sz w:val="18"/>
                <w:szCs w:val="18"/>
                <w:lang w:eastAsia="zh-CN"/>
              </w:rPr>
              <w:t>车辆性能检测与调试</w:t>
            </w:r>
          </w:p>
        </w:tc>
        <w:tc>
          <w:tcPr>
            <w:tcW w:w="2546" w:type="dxa"/>
            <w:vAlign w:val="center"/>
          </w:tcPr>
          <w:p w14:paraId="595E175E">
            <w:pPr>
              <w:pStyle w:val="22"/>
              <w:jc w:val="left"/>
              <w:rPr>
                <w:rFonts w:ascii="Times New Roman" w:hAnsi="Times New Roman" w:cs="Times New Roman"/>
                <w:snapToGrid w:val="0"/>
                <w:color w:val="000000"/>
                <w:sz w:val="18"/>
                <w:szCs w:val="18"/>
                <w:lang w:eastAsia="zh-CN"/>
              </w:rPr>
            </w:pPr>
            <w:r>
              <w:rPr>
                <w:rFonts w:hint="eastAsia" w:ascii="Times New Roman" w:hAnsi="Times New Roman" w:cs="Times New Roman"/>
                <w:snapToGrid w:val="0"/>
                <w:color w:val="000000"/>
                <w:sz w:val="18"/>
                <w:szCs w:val="18"/>
                <w:lang w:eastAsia="zh-CN"/>
              </w:rPr>
              <w:t>新能源汽车底盘技术及检修、新能源汽车综合故障诊断</w:t>
            </w:r>
          </w:p>
        </w:tc>
      </w:tr>
    </w:tbl>
    <w:p w14:paraId="184CC4F0">
      <w:pPr>
        <w:adjustRightInd w:val="0"/>
        <w:snapToGrid w:val="0"/>
        <w:spacing w:line="400" w:lineRule="exact"/>
        <w:ind w:firstLine="480" w:firstLineChars="200"/>
        <w:rPr>
          <w:rFonts w:ascii="黑体" w:hAnsi="黑体" w:eastAsia="黑体" w:cs="黑体"/>
          <w:bCs/>
          <w:sz w:val="24"/>
        </w:rPr>
      </w:pPr>
      <w:bookmarkStart w:id="19" w:name="_Toc545"/>
      <w:r>
        <w:rPr>
          <w:rFonts w:hint="eastAsia" w:ascii="黑体" w:hAnsi="黑体" w:eastAsia="黑体" w:cs="黑体"/>
          <w:bCs/>
          <w:sz w:val="24"/>
        </w:rPr>
        <w:t>七、</w:t>
      </w:r>
      <w:bookmarkEnd w:id="19"/>
      <w:r>
        <w:rPr>
          <w:rFonts w:eastAsia="黑体"/>
          <w:sz w:val="24"/>
        </w:rPr>
        <w:t>教学进程总体安排</w:t>
      </w:r>
    </w:p>
    <w:p w14:paraId="07FB7231">
      <w:pPr>
        <w:overflowPunct w:val="0"/>
        <w:adjustRightInd w:val="0"/>
        <w:spacing w:before="62" w:beforeLines="20" w:after="62" w:afterLines="20" w:line="240" w:lineRule="exact"/>
        <w:ind w:firstLine="422" w:firstLineChars="200"/>
        <w:outlineLvl w:val="0"/>
        <w:rPr>
          <w:rFonts w:ascii="宋体" w:hAnsi="宋体" w:eastAsia="宋体" w:cs="宋体"/>
          <w:b/>
          <w:szCs w:val="32"/>
        </w:rPr>
      </w:pPr>
      <w:bookmarkStart w:id="20" w:name="_Toc6775"/>
      <w:r>
        <w:rPr>
          <w:rFonts w:hint="eastAsia" w:ascii="宋体" w:hAnsi="宋体" w:eastAsia="宋体" w:cs="宋体"/>
          <w:b/>
          <w:szCs w:val="32"/>
        </w:rPr>
        <w:t>（一）课程平台及学分比例</w:t>
      </w:r>
    </w:p>
    <w:bookmarkEnd w:id="20"/>
    <w:p w14:paraId="713CB69D">
      <w:pPr>
        <w:pStyle w:val="2"/>
        <w:spacing w:before="93" w:beforeLines="30" w:after="93" w:afterLines="30" w:line="24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表7  课程平台及学分比例</w:t>
      </w:r>
    </w:p>
    <w:tbl>
      <w:tblPr>
        <w:tblStyle w:val="13"/>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58BB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blHeader/>
          <w:jc w:val="center"/>
        </w:trPr>
        <w:tc>
          <w:tcPr>
            <w:tcW w:w="2040" w:type="dxa"/>
            <w:vAlign w:val="center"/>
          </w:tcPr>
          <w:p w14:paraId="18D6542F">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课程平台</w:t>
            </w:r>
          </w:p>
        </w:tc>
        <w:tc>
          <w:tcPr>
            <w:tcW w:w="2598" w:type="dxa"/>
            <w:vAlign w:val="center"/>
          </w:tcPr>
          <w:p w14:paraId="31E773DE">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课程模块</w:t>
            </w:r>
          </w:p>
        </w:tc>
        <w:tc>
          <w:tcPr>
            <w:tcW w:w="1140" w:type="dxa"/>
            <w:vAlign w:val="center"/>
          </w:tcPr>
          <w:p w14:paraId="77213D8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课程性质</w:t>
            </w:r>
          </w:p>
        </w:tc>
        <w:tc>
          <w:tcPr>
            <w:tcW w:w="1030" w:type="dxa"/>
            <w:vAlign w:val="center"/>
          </w:tcPr>
          <w:p w14:paraId="7605B1E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修读学分要求</w:t>
            </w:r>
          </w:p>
        </w:tc>
        <w:tc>
          <w:tcPr>
            <w:tcW w:w="1126" w:type="dxa"/>
            <w:vAlign w:val="center"/>
          </w:tcPr>
          <w:p w14:paraId="7736D39D">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占总学分</w:t>
            </w:r>
          </w:p>
          <w:p w14:paraId="3CC4C5B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比例</w:t>
            </w:r>
          </w:p>
        </w:tc>
        <w:tc>
          <w:tcPr>
            <w:tcW w:w="1504" w:type="dxa"/>
            <w:vAlign w:val="center"/>
          </w:tcPr>
          <w:p w14:paraId="48E9C2B0">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6830B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2040" w:type="dxa"/>
            <w:vMerge w:val="restart"/>
            <w:vAlign w:val="center"/>
          </w:tcPr>
          <w:p w14:paraId="32D2C41E">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通识教育平台</w:t>
            </w:r>
          </w:p>
        </w:tc>
        <w:tc>
          <w:tcPr>
            <w:tcW w:w="2598" w:type="dxa"/>
            <w:vAlign w:val="center"/>
          </w:tcPr>
          <w:p w14:paraId="60A8C2F5">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通识必修课程模块</w:t>
            </w:r>
          </w:p>
        </w:tc>
        <w:tc>
          <w:tcPr>
            <w:tcW w:w="1140" w:type="dxa"/>
            <w:vAlign w:val="center"/>
          </w:tcPr>
          <w:p w14:paraId="2AE48E42">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1007AF63">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43.5</w:t>
            </w:r>
          </w:p>
        </w:tc>
        <w:tc>
          <w:tcPr>
            <w:tcW w:w="1126" w:type="dxa"/>
            <w:vMerge w:val="restart"/>
            <w:vAlign w:val="center"/>
          </w:tcPr>
          <w:p w14:paraId="0CBB2627">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3</w:t>
            </w:r>
            <w:r>
              <w:rPr>
                <w:rFonts w:ascii="宋体" w:hAnsi="宋体" w:eastAsia="宋体" w:cs="宋体"/>
                <w:bCs/>
                <w:sz w:val="18"/>
                <w:szCs w:val="18"/>
              </w:rPr>
              <w:t>6</w:t>
            </w:r>
            <w:r>
              <w:rPr>
                <w:rFonts w:hint="eastAsia" w:ascii="宋体" w:hAnsi="宋体" w:eastAsia="宋体" w:cs="宋体"/>
                <w:bCs/>
                <w:sz w:val="18"/>
                <w:szCs w:val="18"/>
              </w:rPr>
              <w:t>.</w:t>
            </w:r>
            <w:r>
              <w:rPr>
                <w:rFonts w:ascii="宋体" w:hAnsi="宋体" w:eastAsia="宋体" w:cs="宋体"/>
                <w:bCs/>
                <w:sz w:val="18"/>
                <w:szCs w:val="18"/>
              </w:rPr>
              <w:t>9</w:t>
            </w:r>
            <w:r>
              <w:rPr>
                <w:rFonts w:hint="eastAsia" w:ascii="宋体" w:hAnsi="宋体" w:eastAsia="宋体" w:cs="宋体"/>
                <w:bCs/>
                <w:sz w:val="18"/>
                <w:szCs w:val="18"/>
              </w:rPr>
              <w:t>%</w:t>
            </w:r>
          </w:p>
        </w:tc>
        <w:tc>
          <w:tcPr>
            <w:tcW w:w="1504" w:type="dxa"/>
            <w:vMerge w:val="restart"/>
            <w:vAlign w:val="center"/>
          </w:tcPr>
          <w:p w14:paraId="2A8D8B6D">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两个平台课程学分相加即为总学分。</w:t>
            </w:r>
          </w:p>
          <w:p w14:paraId="4F630E28">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其中，专业选修课程模块包含专业限选课和专业任选课</w:t>
            </w:r>
          </w:p>
        </w:tc>
      </w:tr>
      <w:tr w14:paraId="4E84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exact"/>
          <w:jc w:val="center"/>
        </w:trPr>
        <w:tc>
          <w:tcPr>
            <w:tcW w:w="2040" w:type="dxa"/>
            <w:vMerge w:val="continue"/>
            <w:vAlign w:val="center"/>
          </w:tcPr>
          <w:p w14:paraId="289A755C">
            <w:pPr>
              <w:widowControl/>
              <w:adjustRightInd w:val="0"/>
              <w:snapToGrid w:val="0"/>
              <w:spacing w:line="240" w:lineRule="exact"/>
              <w:jc w:val="center"/>
              <w:rPr>
                <w:rFonts w:ascii="宋体" w:hAnsi="宋体" w:eastAsia="宋体" w:cs="宋体"/>
                <w:bCs/>
                <w:sz w:val="18"/>
                <w:szCs w:val="18"/>
              </w:rPr>
            </w:pPr>
          </w:p>
        </w:tc>
        <w:tc>
          <w:tcPr>
            <w:tcW w:w="2598" w:type="dxa"/>
            <w:vAlign w:val="center"/>
          </w:tcPr>
          <w:p w14:paraId="4820E96C">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公共选修课程模块</w:t>
            </w:r>
          </w:p>
        </w:tc>
        <w:tc>
          <w:tcPr>
            <w:tcW w:w="1140" w:type="dxa"/>
            <w:vAlign w:val="center"/>
          </w:tcPr>
          <w:p w14:paraId="7C8C318A">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18FE4924">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3</w:t>
            </w:r>
          </w:p>
        </w:tc>
        <w:tc>
          <w:tcPr>
            <w:tcW w:w="1126" w:type="dxa"/>
            <w:vMerge w:val="continue"/>
            <w:vAlign w:val="center"/>
          </w:tcPr>
          <w:p w14:paraId="356042C8">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4CFD0B8A">
            <w:pPr>
              <w:adjustRightInd w:val="0"/>
              <w:snapToGrid w:val="0"/>
              <w:spacing w:line="240" w:lineRule="exact"/>
              <w:ind w:left="635" w:hanging="635" w:hangingChars="353"/>
              <w:jc w:val="center"/>
              <w:rPr>
                <w:rFonts w:ascii="宋体" w:hAnsi="宋体" w:eastAsia="宋体" w:cs="宋体"/>
                <w:bCs/>
                <w:sz w:val="18"/>
                <w:szCs w:val="18"/>
              </w:rPr>
            </w:pPr>
          </w:p>
        </w:tc>
      </w:tr>
      <w:tr w14:paraId="603F8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2040" w:type="dxa"/>
            <w:vMerge w:val="restart"/>
            <w:vAlign w:val="center"/>
          </w:tcPr>
          <w:p w14:paraId="026785C7">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专业教育平台</w:t>
            </w:r>
          </w:p>
        </w:tc>
        <w:tc>
          <w:tcPr>
            <w:tcW w:w="2598" w:type="dxa"/>
            <w:vAlign w:val="center"/>
          </w:tcPr>
          <w:p w14:paraId="482C2A56">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专业基础课程模块</w:t>
            </w:r>
          </w:p>
        </w:tc>
        <w:tc>
          <w:tcPr>
            <w:tcW w:w="1140" w:type="dxa"/>
            <w:vAlign w:val="center"/>
          </w:tcPr>
          <w:p w14:paraId="2113BB64">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11AEB3E6">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15.5</w:t>
            </w:r>
          </w:p>
        </w:tc>
        <w:tc>
          <w:tcPr>
            <w:tcW w:w="1126" w:type="dxa"/>
            <w:vMerge w:val="restart"/>
            <w:vAlign w:val="center"/>
          </w:tcPr>
          <w:p w14:paraId="5CE5914C">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6</w:t>
            </w:r>
            <w:r>
              <w:rPr>
                <w:rFonts w:ascii="宋体" w:hAnsi="宋体" w:eastAsia="宋体" w:cs="宋体"/>
                <w:bCs/>
                <w:sz w:val="18"/>
                <w:szCs w:val="18"/>
              </w:rPr>
              <w:t>3</w:t>
            </w:r>
            <w:r>
              <w:rPr>
                <w:rFonts w:hint="eastAsia" w:ascii="宋体" w:hAnsi="宋体" w:eastAsia="宋体" w:cs="宋体"/>
                <w:bCs/>
                <w:sz w:val="18"/>
                <w:szCs w:val="18"/>
              </w:rPr>
              <w:t>.</w:t>
            </w:r>
            <w:r>
              <w:rPr>
                <w:rFonts w:ascii="宋体" w:hAnsi="宋体" w:eastAsia="宋体" w:cs="宋体"/>
                <w:bCs/>
                <w:sz w:val="18"/>
                <w:szCs w:val="18"/>
              </w:rPr>
              <w:t>1</w:t>
            </w:r>
            <w:r>
              <w:rPr>
                <w:rFonts w:hint="eastAsia" w:ascii="宋体" w:hAnsi="宋体" w:eastAsia="宋体" w:cs="宋体"/>
                <w:bCs/>
                <w:sz w:val="18"/>
                <w:szCs w:val="18"/>
              </w:rPr>
              <w:t>%</w:t>
            </w:r>
          </w:p>
        </w:tc>
        <w:tc>
          <w:tcPr>
            <w:tcW w:w="1504" w:type="dxa"/>
            <w:vMerge w:val="continue"/>
            <w:vAlign w:val="center"/>
          </w:tcPr>
          <w:p w14:paraId="5A8DC293">
            <w:pPr>
              <w:adjustRightInd w:val="0"/>
              <w:snapToGrid w:val="0"/>
              <w:spacing w:line="240" w:lineRule="exact"/>
              <w:ind w:left="22" w:hanging="21" w:hangingChars="12"/>
              <w:jc w:val="center"/>
              <w:rPr>
                <w:rFonts w:ascii="宋体" w:hAnsi="宋体" w:eastAsia="宋体" w:cs="宋体"/>
                <w:bCs/>
                <w:sz w:val="18"/>
                <w:szCs w:val="18"/>
              </w:rPr>
            </w:pPr>
          </w:p>
        </w:tc>
      </w:tr>
      <w:tr w14:paraId="15934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jc w:val="center"/>
        </w:trPr>
        <w:tc>
          <w:tcPr>
            <w:tcW w:w="2040" w:type="dxa"/>
            <w:vMerge w:val="continue"/>
            <w:vAlign w:val="center"/>
          </w:tcPr>
          <w:p w14:paraId="73DFA8BF">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442D595A">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专业必修课程模块</w:t>
            </w:r>
          </w:p>
        </w:tc>
        <w:tc>
          <w:tcPr>
            <w:tcW w:w="1140" w:type="dxa"/>
            <w:vAlign w:val="center"/>
          </w:tcPr>
          <w:p w14:paraId="6AEC0C6C">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38E15CEA">
            <w:pPr>
              <w:adjustRightInd w:val="0"/>
              <w:snapToGrid w:val="0"/>
              <w:spacing w:line="240" w:lineRule="exact"/>
              <w:ind w:left="635" w:hanging="635" w:hangingChars="353"/>
              <w:jc w:val="center"/>
              <w:rPr>
                <w:rFonts w:ascii="宋体" w:hAnsi="宋体" w:eastAsia="宋体" w:cs="宋体"/>
                <w:bCs/>
                <w:sz w:val="18"/>
                <w:szCs w:val="18"/>
              </w:rPr>
            </w:pPr>
            <w:r>
              <w:rPr>
                <w:rFonts w:ascii="宋体" w:hAnsi="宋体" w:eastAsia="宋体" w:cs="宋体"/>
                <w:bCs/>
                <w:sz w:val="18"/>
                <w:szCs w:val="18"/>
              </w:rPr>
              <w:t>48</w:t>
            </w:r>
          </w:p>
        </w:tc>
        <w:tc>
          <w:tcPr>
            <w:tcW w:w="1126" w:type="dxa"/>
            <w:vMerge w:val="continue"/>
            <w:vAlign w:val="center"/>
          </w:tcPr>
          <w:p w14:paraId="1D70486B">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2CE03132">
            <w:pPr>
              <w:adjustRightInd w:val="0"/>
              <w:snapToGrid w:val="0"/>
              <w:spacing w:line="240" w:lineRule="exact"/>
              <w:ind w:left="22" w:hanging="21" w:hangingChars="12"/>
              <w:jc w:val="center"/>
              <w:rPr>
                <w:rFonts w:ascii="宋体" w:hAnsi="宋体" w:eastAsia="宋体" w:cs="宋体"/>
                <w:bCs/>
                <w:sz w:val="18"/>
                <w:szCs w:val="18"/>
              </w:rPr>
            </w:pPr>
          </w:p>
        </w:tc>
      </w:tr>
      <w:tr w14:paraId="413F8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2040" w:type="dxa"/>
            <w:vMerge w:val="continue"/>
            <w:vAlign w:val="center"/>
          </w:tcPr>
          <w:p w14:paraId="6D0A1D3F">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29500785">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专业选修课程模块</w:t>
            </w:r>
          </w:p>
        </w:tc>
        <w:tc>
          <w:tcPr>
            <w:tcW w:w="1140" w:type="dxa"/>
            <w:vAlign w:val="center"/>
          </w:tcPr>
          <w:p w14:paraId="092FE185">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3469AA72">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16</w:t>
            </w:r>
          </w:p>
        </w:tc>
        <w:tc>
          <w:tcPr>
            <w:tcW w:w="1126" w:type="dxa"/>
            <w:vMerge w:val="continue"/>
            <w:vAlign w:val="center"/>
          </w:tcPr>
          <w:p w14:paraId="56B57994">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325A21B9">
            <w:pPr>
              <w:adjustRightInd w:val="0"/>
              <w:snapToGrid w:val="0"/>
              <w:spacing w:line="240" w:lineRule="exact"/>
              <w:ind w:left="22" w:hanging="21" w:hangingChars="12"/>
              <w:jc w:val="center"/>
              <w:rPr>
                <w:rFonts w:ascii="宋体" w:hAnsi="宋体" w:eastAsia="宋体" w:cs="宋体"/>
                <w:bCs/>
                <w:sz w:val="18"/>
                <w:szCs w:val="18"/>
              </w:rPr>
            </w:pPr>
          </w:p>
        </w:tc>
      </w:tr>
      <w:tr w14:paraId="66A0F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exact"/>
          <w:jc w:val="center"/>
        </w:trPr>
        <w:tc>
          <w:tcPr>
            <w:tcW w:w="5778" w:type="dxa"/>
            <w:gridSpan w:val="3"/>
            <w:vAlign w:val="center"/>
          </w:tcPr>
          <w:p w14:paraId="57F18E07">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3A5998C9">
            <w:pPr>
              <w:adjustRightInd w:val="0"/>
              <w:snapToGrid w:val="0"/>
              <w:spacing w:line="240" w:lineRule="exact"/>
              <w:ind w:left="638" w:hanging="638" w:hangingChars="353"/>
              <w:jc w:val="center"/>
              <w:rPr>
                <w:rFonts w:ascii="宋体" w:hAnsi="宋体" w:eastAsia="宋体" w:cs="宋体"/>
                <w:b/>
                <w:sz w:val="18"/>
                <w:szCs w:val="18"/>
              </w:rPr>
            </w:pPr>
            <w:r>
              <w:rPr>
                <w:rFonts w:hint="eastAsia" w:ascii="宋体" w:hAnsi="宋体" w:eastAsia="宋体" w:cs="宋体"/>
                <w:b/>
                <w:sz w:val="18"/>
                <w:szCs w:val="18"/>
              </w:rPr>
              <w:t>1</w:t>
            </w:r>
            <w:r>
              <w:rPr>
                <w:rFonts w:ascii="宋体" w:hAnsi="宋体" w:eastAsia="宋体" w:cs="宋体"/>
                <w:b/>
                <w:sz w:val="18"/>
                <w:szCs w:val="18"/>
              </w:rPr>
              <w:t>26</w:t>
            </w:r>
          </w:p>
        </w:tc>
        <w:tc>
          <w:tcPr>
            <w:tcW w:w="1126" w:type="dxa"/>
            <w:vAlign w:val="center"/>
          </w:tcPr>
          <w:p w14:paraId="30F82DBC">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4C8F37B1">
            <w:pPr>
              <w:adjustRightInd w:val="0"/>
              <w:snapToGrid w:val="0"/>
              <w:spacing w:line="240" w:lineRule="exact"/>
              <w:ind w:left="635" w:hanging="635" w:hangingChars="353"/>
              <w:jc w:val="center"/>
              <w:rPr>
                <w:rFonts w:ascii="宋体" w:hAnsi="宋体" w:eastAsia="宋体" w:cs="宋体"/>
                <w:bCs/>
                <w:sz w:val="18"/>
                <w:szCs w:val="18"/>
              </w:rPr>
            </w:pPr>
          </w:p>
        </w:tc>
      </w:tr>
      <w:tr w14:paraId="107E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2040" w:type="dxa"/>
            <w:vMerge w:val="restart"/>
            <w:vAlign w:val="center"/>
          </w:tcPr>
          <w:p w14:paraId="720F87A7">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实践教育平台</w:t>
            </w:r>
          </w:p>
        </w:tc>
        <w:tc>
          <w:tcPr>
            <w:tcW w:w="2598" w:type="dxa"/>
            <w:vAlign w:val="center"/>
          </w:tcPr>
          <w:p w14:paraId="30EC13D7">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公共基础必修课程模块</w:t>
            </w:r>
          </w:p>
        </w:tc>
        <w:tc>
          <w:tcPr>
            <w:tcW w:w="1140" w:type="dxa"/>
            <w:vAlign w:val="center"/>
          </w:tcPr>
          <w:p w14:paraId="11E95B94">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521C23BC">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4</w:t>
            </w:r>
          </w:p>
        </w:tc>
        <w:tc>
          <w:tcPr>
            <w:tcW w:w="1126" w:type="dxa"/>
            <w:vMerge w:val="restart"/>
            <w:vAlign w:val="center"/>
          </w:tcPr>
          <w:p w14:paraId="1079E54F">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26.98%</w:t>
            </w:r>
          </w:p>
        </w:tc>
        <w:tc>
          <w:tcPr>
            <w:tcW w:w="1504" w:type="dxa"/>
            <w:vMerge w:val="restart"/>
            <w:vAlign w:val="center"/>
          </w:tcPr>
          <w:p w14:paraId="76F456F2">
            <w:pPr>
              <w:adjustRightInd w:val="0"/>
              <w:snapToGrid w:val="0"/>
              <w:spacing w:line="240" w:lineRule="exact"/>
              <w:jc w:val="center"/>
              <w:rPr>
                <w:rFonts w:ascii="宋体" w:hAnsi="宋体" w:eastAsia="宋体" w:cs="宋体"/>
                <w:bCs/>
                <w:sz w:val="18"/>
                <w:szCs w:val="18"/>
              </w:rPr>
            </w:pPr>
          </w:p>
        </w:tc>
      </w:tr>
      <w:tr w14:paraId="50078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2040" w:type="dxa"/>
            <w:vMerge w:val="continue"/>
            <w:vAlign w:val="center"/>
          </w:tcPr>
          <w:p w14:paraId="54472953">
            <w:pPr>
              <w:adjustRightInd w:val="0"/>
              <w:snapToGrid w:val="0"/>
              <w:spacing w:line="240" w:lineRule="exact"/>
              <w:ind w:left="-104" w:firstLine="90" w:firstLineChars="50"/>
              <w:jc w:val="center"/>
              <w:rPr>
                <w:rFonts w:ascii="宋体" w:hAnsi="宋体" w:eastAsia="宋体" w:cs="宋体"/>
                <w:bCs/>
                <w:sz w:val="18"/>
                <w:szCs w:val="18"/>
              </w:rPr>
            </w:pPr>
          </w:p>
        </w:tc>
        <w:tc>
          <w:tcPr>
            <w:tcW w:w="2598" w:type="dxa"/>
            <w:vAlign w:val="center"/>
          </w:tcPr>
          <w:p w14:paraId="6DBFEF2B">
            <w:pPr>
              <w:adjustRightInd w:val="0"/>
              <w:snapToGrid w:val="0"/>
              <w:spacing w:line="240" w:lineRule="exact"/>
              <w:ind w:left="-104"/>
              <w:jc w:val="center"/>
              <w:rPr>
                <w:rFonts w:ascii="宋体" w:hAnsi="宋体" w:eastAsia="宋体" w:cs="宋体"/>
                <w:bCs/>
                <w:spacing w:val="-10"/>
                <w:sz w:val="18"/>
                <w:szCs w:val="18"/>
              </w:rPr>
            </w:pPr>
            <w:r>
              <w:rPr>
                <w:rFonts w:hint="eastAsia" w:ascii="宋体" w:hAnsi="宋体" w:eastAsia="宋体" w:cs="宋体"/>
                <w:bCs/>
                <w:sz w:val="18"/>
                <w:szCs w:val="18"/>
              </w:rPr>
              <w:t>专业必修课程模块</w:t>
            </w:r>
          </w:p>
        </w:tc>
        <w:tc>
          <w:tcPr>
            <w:tcW w:w="1140" w:type="dxa"/>
            <w:vAlign w:val="center"/>
          </w:tcPr>
          <w:p w14:paraId="4BF8E135">
            <w:pPr>
              <w:adjustRightInd w:val="0"/>
              <w:snapToGrid w:val="0"/>
              <w:spacing w:line="240" w:lineRule="exact"/>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4B2F59F8">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30</w:t>
            </w:r>
          </w:p>
        </w:tc>
        <w:tc>
          <w:tcPr>
            <w:tcW w:w="1126" w:type="dxa"/>
            <w:vMerge w:val="continue"/>
            <w:vAlign w:val="center"/>
          </w:tcPr>
          <w:p w14:paraId="54678B64">
            <w:pPr>
              <w:adjustRightInd w:val="0"/>
              <w:snapToGrid w:val="0"/>
              <w:spacing w:line="240" w:lineRule="exact"/>
              <w:ind w:left="635" w:hanging="635" w:hangingChars="353"/>
              <w:jc w:val="center"/>
              <w:rPr>
                <w:rFonts w:ascii="宋体" w:hAnsi="宋体" w:eastAsia="宋体" w:cs="宋体"/>
                <w:bCs/>
                <w:sz w:val="18"/>
                <w:szCs w:val="18"/>
              </w:rPr>
            </w:pPr>
          </w:p>
        </w:tc>
        <w:tc>
          <w:tcPr>
            <w:tcW w:w="1504" w:type="dxa"/>
            <w:vMerge w:val="continue"/>
            <w:vAlign w:val="center"/>
          </w:tcPr>
          <w:p w14:paraId="140D53D4">
            <w:pPr>
              <w:adjustRightInd w:val="0"/>
              <w:snapToGrid w:val="0"/>
              <w:spacing w:line="240" w:lineRule="exact"/>
              <w:jc w:val="center"/>
              <w:rPr>
                <w:rFonts w:ascii="宋体" w:hAnsi="宋体" w:eastAsia="宋体" w:cs="宋体"/>
                <w:bCs/>
                <w:sz w:val="18"/>
                <w:szCs w:val="18"/>
              </w:rPr>
            </w:pPr>
          </w:p>
        </w:tc>
      </w:tr>
      <w:tr w14:paraId="540C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5778" w:type="dxa"/>
            <w:gridSpan w:val="3"/>
            <w:vAlign w:val="center"/>
          </w:tcPr>
          <w:p w14:paraId="325B07D0">
            <w:pPr>
              <w:adjustRightInd w:val="0"/>
              <w:snapToGrid w:val="0"/>
              <w:spacing w:line="240" w:lineRule="exact"/>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60892A7F">
            <w:pPr>
              <w:adjustRightInd w:val="0"/>
              <w:snapToGrid w:val="0"/>
              <w:spacing w:line="240" w:lineRule="exact"/>
              <w:ind w:left="638" w:hanging="638" w:hangingChars="353"/>
              <w:jc w:val="center"/>
              <w:rPr>
                <w:rFonts w:ascii="宋体" w:hAnsi="宋体" w:eastAsia="宋体" w:cs="宋体"/>
                <w:b/>
                <w:sz w:val="18"/>
                <w:szCs w:val="18"/>
              </w:rPr>
            </w:pPr>
            <w:r>
              <w:rPr>
                <w:rFonts w:hint="eastAsia" w:ascii="宋体" w:hAnsi="宋体" w:eastAsia="宋体" w:cs="宋体"/>
                <w:b/>
                <w:sz w:val="18"/>
                <w:szCs w:val="18"/>
              </w:rPr>
              <w:t>34</w:t>
            </w:r>
          </w:p>
        </w:tc>
        <w:tc>
          <w:tcPr>
            <w:tcW w:w="1126" w:type="dxa"/>
            <w:vAlign w:val="center"/>
          </w:tcPr>
          <w:p w14:paraId="0DC3DF09">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6AC0F755">
            <w:pPr>
              <w:adjustRightInd w:val="0"/>
              <w:snapToGrid w:val="0"/>
              <w:spacing w:line="240" w:lineRule="exact"/>
              <w:jc w:val="center"/>
              <w:rPr>
                <w:rFonts w:ascii="宋体" w:hAnsi="宋体" w:eastAsia="宋体" w:cs="宋体"/>
                <w:bCs/>
                <w:sz w:val="18"/>
                <w:szCs w:val="18"/>
              </w:rPr>
            </w:pPr>
          </w:p>
        </w:tc>
      </w:tr>
      <w:tr w14:paraId="2780D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5778" w:type="dxa"/>
            <w:gridSpan w:val="3"/>
            <w:vAlign w:val="center"/>
          </w:tcPr>
          <w:p w14:paraId="0133E63F">
            <w:pPr>
              <w:adjustRightInd w:val="0"/>
              <w:snapToGrid w:val="0"/>
              <w:spacing w:line="240" w:lineRule="exact"/>
              <w:ind w:left="-104" w:firstLine="90" w:firstLineChars="50"/>
              <w:jc w:val="center"/>
              <w:rPr>
                <w:rFonts w:ascii="宋体" w:hAnsi="宋体" w:eastAsia="宋体" w:cs="宋体"/>
                <w:bCs/>
                <w:sz w:val="18"/>
                <w:szCs w:val="18"/>
              </w:rPr>
            </w:pPr>
            <w:r>
              <w:rPr>
                <w:rFonts w:hint="eastAsia" w:ascii="宋体" w:hAnsi="宋体" w:eastAsia="宋体" w:cs="宋体"/>
                <w:bCs/>
                <w:sz w:val="18"/>
                <w:szCs w:val="18"/>
              </w:rPr>
              <w:t>素质拓展平台</w:t>
            </w:r>
          </w:p>
        </w:tc>
        <w:tc>
          <w:tcPr>
            <w:tcW w:w="1030" w:type="dxa"/>
            <w:vAlign w:val="center"/>
          </w:tcPr>
          <w:p w14:paraId="31F11010">
            <w:pPr>
              <w:adjustRightInd w:val="0"/>
              <w:snapToGrid w:val="0"/>
              <w:spacing w:line="240" w:lineRule="exact"/>
              <w:ind w:left="635" w:hanging="635" w:hangingChars="353"/>
              <w:jc w:val="center"/>
              <w:rPr>
                <w:rFonts w:ascii="宋体" w:hAnsi="宋体" w:eastAsia="宋体" w:cs="宋体"/>
                <w:bCs/>
                <w:sz w:val="18"/>
                <w:szCs w:val="18"/>
              </w:rPr>
            </w:pPr>
            <w:r>
              <w:rPr>
                <w:rFonts w:hint="eastAsia" w:ascii="宋体" w:hAnsi="宋体" w:eastAsia="宋体" w:cs="宋体"/>
                <w:bCs/>
                <w:sz w:val="18"/>
                <w:szCs w:val="18"/>
              </w:rPr>
              <w:t>8</w:t>
            </w:r>
          </w:p>
        </w:tc>
        <w:tc>
          <w:tcPr>
            <w:tcW w:w="2630" w:type="dxa"/>
            <w:gridSpan w:val="2"/>
            <w:vAlign w:val="center"/>
          </w:tcPr>
          <w:p w14:paraId="57E045C2">
            <w:pPr>
              <w:adjustRightInd w:val="0"/>
              <w:snapToGrid w:val="0"/>
              <w:spacing w:line="240" w:lineRule="exact"/>
              <w:ind w:left="-104" w:firstLine="270" w:firstLineChars="150"/>
              <w:jc w:val="left"/>
              <w:rPr>
                <w:rFonts w:ascii="宋体" w:hAnsi="宋体" w:eastAsia="宋体" w:cs="宋体"/>
                <w:bCs/>
                <w:sz w:val="18"/>
                <w:szCs w:val="18"/>
              </w:rPr>
            </w:pPr>
            <w:r>
              <w:rPr>
                <w:rFonts w:hint="eastAsia" w:ascii="宋体" w:hAnsi="宋体" w:eastAsia="宋体" w:cs="宋体"/>
                <w:bCs/>
                <w:sz w:val="18"/>
                <w:szCs w:val="18"/>
              </w:rPr>
              <w:t>不列入教学进程计划表，学生毕业前在总学分之外至少必修综合素质拓展教育8学分。具体实施与认定按</w:t>
            </w:r>
            <w:r>
              <w:rPr>
                <w:rFonts w:hint="eastAsia" w:ascii="宋体" w:hAnsi="宋体" w:eastAsia="宋体" w:cs="宋体"/>
                <w:kern w:val="0"/>
                <w:sz w:val="18"/>
                <w:szCs w:val="18"/>
                <w:shd w:val="clear" w:color="auto" w:fill="FFFFFF"/>
              </w:rPr>
              <w:t>《黄河交通学院学生素质拓展学分认定及管理办法》</w:t>
            </w:r>
            <w:r>
              <w:rPr>
                <w:rFonts w:hint="eastAsia" w:ascii="宋体" w:hAnsi="宋体" w:eastAsia="宋体" w:cs="宋体"/>
                <w:bCs/>
                <w:sz w:val="18"/>
                <w:szCs w:val="18"/>
              </w:rPr>
              <w:t>。</w:t>
            </w:r>
          </w:p>
        </w:tc>
      </w:tr>
    </w:tbl>
    <w:p w14:paraId="1E9DF9BF">
      <w:pPr>
        <w:overflowPunct w:val="0"/>
        <w:adjustRightInd w:val="0"/>
        <w:spacing w:before="62" w:beforeLines="20" w:after="62" w:afterLines="20" w:line="240" w:lineRule="exact"/>
        <w:ind w:firstLine="422" w:firstLineChars="200"/>
        <w:outlineLvl w:val="0"/>
        <w:rPr>
          <w:rFonts w:ascii="宋体" w:hAnsi="宋体" w:eastAsia="宋体" w:cs="宋体"/>
          <w:b/>
          <w:szCs w:val="32"/>
        </w:rPr>
      </w:pPr>
      <w:r>
        <w:rPr>
          <w:rFonts w:hint="eastAsia" w:ascii="宋体" w:hAnsi="宋体" w:eastAsia="宋体" w:cs="宋体"/>
          <w:b/>
          <w:szCs w:val="32"/>
        </w:rPr>
        <w:t>（二）课程设置表</w:t>
      </w:r>
    </w:p>
    <w:p w14:paraId="0CE06F4F">
      <w:pPr>
        <w:pStyle w:val="2"/>
        <w:spacing w:before="93" w:beforeLines="30" w:after="93" w:afterLines="30" w:line="240" w:lineRule="exact"/>
        <w:ind w:firstLine="0" w:firstLineChars="0"/>
        <w:jc w:val="center"/>
        <w:rPr>
          <w:rFonts w:ascii="黑体" w:hAnsi="黑体" w:eastAsia="黑体" w:cs="黑体"/>
          <w:color w:val="000000"/>
          <w:kern w:val="0"/>
          <w:szCs w:val="21"/>
        </w:rPr>
      </w:pPr>
      <w:r>
        <w:rPr>
          <w:rFonts w:hint="eastAsia" w:ascii="黑体" w:hAnsi="黑体" w:eastAsia="黑体" w:cs="黑体"/>
          <w:color w:val="000000"/>
          <w:kern w:val="0"/>
          <w:szCs w:val="21"/>
        </w:rPr>
        <w:t>表8  新能源汽车技术专业课程设置表</w:t>
      </w:r>
    </w:p>
    <w:tbl>
      <w:tblPr>
        <w:tblStyle w:val="13"/>
        <w:tblW w:w="946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79"/>
        <w:gridCol w:w="519"/>
        <w:gridCol w:w="1221"/>
        <w:gridCol w:w="2370"/>
        <w:gridCol w:w="579"/>
        <w:gridCol w:w="469"/>
        <w:gridCol w:w="540"/>
        <w:gridCol w:w="570"/>
        <w:gridCol w:w="558"/>
        <w:gridCol w:w="619"/>
        <w:gridCol w:w="1541"/>
      </w:tblGrid>
      <w:tr w14:paraId="67E25D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479" w:type="dxa"/>
            <w:vMerge w:val="restart"/>
            <w:tcBorders>
              <w:tl2br w:val="nil"/>
              <w:tr2bl w:val="nil"/>
            </w:tcBorders>
            <w:shd w:val="clear" w:color="auto" w:fill="auto"/>
            <w:tcMar>
              <w:top w:w="12" w:type="dxa"/>
              <w:left w:w="12" w:type="dxa"/>
              <w:right w:w="12" w:type="dxa"/>
            </w:tcMar>
            <w:vAlign w:val="center"/>
          </w:tcPr>
          <w:p w14:paraId="27AC527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平台模块</w:t>
            </w:r>
          </w:p>
        </w:tc>
        <w:tc>
          <w:tcPr>
            <w:tcW w:w="519" w:type="dxa"/>
            <w:vMerge w:val="restart"/>
            <w:tcBorders>
              <w:tl2br w:val="nil"/>
              <w:tr2bl w:val="nil"/>
            </w:tcBorders>
            <w:shd w:val="clear" w:color="auto" w:fill="auto"/>
            <w:tcMar>
              <w:top w:w="12" w:type="dxa"/>
              <w:left w:w="12" w:type="dxa"/>
              <w:right w:w="12" w:type="dxa"/>
            </w:tcMar>
            <w:vAlign w:val="center"/>
          </w:tcPr>
          <w:p w14:paraId="2F33B77B">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类别</w:t>
            </w:r>
          </w:p>
          <w:p w14:paraId="73D71CE7">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性质</w:t>
            </w:r>
          </w:p>
        </w:tc>
        <w:tc>
          <w:tcPr>
            <w:tcW w:w="1221" w:type="dxa"/>
            <w:vMerge w:val="restart"/>
            <w:tcBorders>
              <w:tl2br w:val="nil"/>
              <w:tr2bl w:val="nil"/>
            </w:tcBorders>
            <w:shd w:val="clear" w:color="auto" w:fill="auto"/>
            <w:tcMar>
              <w:top w:w="12" w:type="dxa"/>
              <w:left w:w="12" w:type="dxa"/>
              <w:right w:w="12" w:type="dxa"/>
            </w:tcMar>
            <w:vAlign w:val="center"/>
          </w:tcPr>
          <w:p w14:paraId="1CFD8E2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课程代码</w:t>
            </w:r>
          </w:p>
        </w:tc>
        <w:tc>
          <w:tcPr>
            <w:tcW w:w="2370" w:type="dxa"/>
            <w:vMerge w:val="restart"/>
            <w:tcBorders>
              <w:tl2br w:val="nil"/>
              <w:tr2bl w:val="nil"/>
            </w:tcBorders>
            <w:shd w:val="clear" w:color="auto" w:fill="auto"/>
            <w:tcMar>
              <w:top w:w="12" w:type="dxa"/>
              <w:left w:w="12" w:type="dxa"/>
              <w:right w:w="12" w:type="dxa"/>
            </w:tcMar>
            <w:vAlign w:val="center"/>
          </w:tcPr>
          <w:p w14:paraId="4C178526">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课程名称</w:t>
            </w:r>
          </w:p>
        </w:tc>
        <w:tc>
          <w:tcPr>
            <w:tcW w:w="579" w:type="dxa"/>
            <w:vMerge w:val="restart"/>
            <w:tcBorders>
              <w:tl2br w:val="nil"/>
              <w:tr2bl w:val="nil"/>
            </w:tcBorders>
            <w:shd w:val="clear" w:color="auto" w:fill="auto"/>
            <w:tcMar>
              <w:top w:w="12" w:type="dxa"/>
              <w:left w:w="12" w:type="dxa"/>
              <w:right w:w="12" w:type="dxa"/>
            </w:tcMar>
            <w:vAlign w:val="center"/>
          </w:tcPr>
          <w:p w14:paraId="0A96F536">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学分</w:t>
            </w:r>
          </w:p>
        </w:tc>
        <w:tc>
          <w:tcPr>
            <w:tcW w:w="469" w:type="dxa"/>
            <w:vMerge w:val="restart"/>
            <w:tcBorders>
              <w:tl2br w:val="nil"/>
              <w:tr2bl w:val="nil"/>
            </w:tcBorders>
            <w:shd w:val="clear" w:color="auto" w:fill="auto"/>
            <w:tcMar>
              <w:top w:w="12" w:type="dxa"/>
              <w:left w:w="12" w:type="dxa"/>
              <w:right w:w="12" w:type="dxa"/>
            </w:tcMar>
            <w:vAlign w:val="center"/>
          </w:tcPr>
          <w:p w14:paraId="0B373E23">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学时</w:t>
            </w:r>
          </w:p>
        </w:tc>
        <w:tc>
          <w:tcPr>
            <w:tcW w:w="1110" w:type="dxa"/>
            <w:gridSpan w:val="2"/>
            <w:tcBorders>
              <w:tl2br w:val="nil"/>
              <w:tr2bl w:val="nil"/>
            </w:tcBorders>
            <w:shd w:val="clear" w:color="auto" w:fill="auto"/>
            <w:tcMar>
              <w:top w:w="12" w:type="dxa"/>
              <w:left w:w="12" w:type="dxa"/>
              <w:right w:w="12" w:type="dxa"/>
            </w:tcMar>
            <w:vAlign w:val="center"/>
          </w:tcPr>
          <w:p w14:paraId="49DF3184">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其中</w:t>
            </w:r>
          </w:p>
        </w:tc>
        <w:tc>
          <w:tcPr>
            <w:tcW w:w="558" w:type="dxa"/>
            <w:vMerge w:val="restart"/>
            <w:tcBorders>
              <w:tl2br w:val="nil"/>
              <w:tr2bl w:val="nil"/>
            </w:tcBorders>
            <w:shd w:val="clear" w:color="auto" w:fill="auto"/>
            <w:tcMar>
              <w:top w:w="12" w:type="dxa"/>
              <w:left w:w="12" w:type="dxa"/>
              <w:right w:w="12" w:type="dxa"/>
            </w:tcMar>
            <w:vAlign w:val="center"/>
          </w:tcPr>
          <w:p w14:paraId="55188E27">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考核</w:t>
            </w:r>
          </w:p>
          <w:p w14:paraId="4B470CA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形式</w:t>
            </w:r>
          </w:p>
        </w:tc>
        <w:tc>
          <w:tcPr>
            <w:tcW w:w="619" w:type="dxa"/>
            <w:vMerge w:val="restart"/>
            <w:tcBorders>
              <w:tl2br w:val="nil"/>
              <w:tr2bl w:val="nil"/>
            </w:tcBorders>
            <w:shd w:val="clear" w:color="auto" w:fill="auto"/>
            <w:tcMar>
              <w:top w:w="12" w:type="dxa"/>
              <w:left w:w="12" w:type="dxa"/>
              <w:right w:w="12" w:type="dxa"/>
            </w:tcMar>
            <w:vAlign w:val="center"/>
          </w:tcPr>
          <w:p w14:paraId="134407F3">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开设</w:t>
            </w:r>
          </w:p>
          <w:p w14:paraId="0756F256">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学期</w:t>
            </w:r>
          </w:p>
        </w:tc>
        <w:tc>
          <w:tcPr>
            <w:tcW w:w="1541" w:type="dxa"/>
            <w:vMerge w:val="restart"/>
            <w:tcBorders>
              <w:tl2br w:val="nil"/>
              <w:tr2bl w:val="nil"/>
            </w:tcBorders>
            <w:shd w:val="clear" w:color="auto" w:fill="auto"/>
            <w:tcMar>
              <w:top w:w="12" w:type="dxa"/>
              <w:left w:w="12" w:type="dxa"/>
              <w:right w:w="12" w:type="dxa"/>
            </w:tcMar>
            <w:vAlign w:val="center"/>
          </w:tcPr>
          <w:p w14:paraId="0E13412A">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备注</w:t>
            </w:r>
          </w:p>
        </w:tc>
      </w:tr>
      <w:tr w14:paraId="6AF651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479" w:type="dxa"/>
            <w:vMerge w:val="continue"/>
            <w:tcBorders>
              <w:tl2br w:val="nil"/>
              <w:tr2bl w:val="nil"/>
            </w:tcBorders>
            <w:shd w:val="clear" w:color="auto" w:fill="auto"/>
            <w:tcMar>
              <w:top w:w="12" w:type="dxa"/>
              <w:left w:w="12" w:type="dxa"/>
              <w:right w:w="12" w:type="dxa"/>
            </w:tcMar>
            <w:vAlign w:val="center"/>
          </w:tcPr>
          <w:p w14:paraId="12EC8795">
            <w:pPr>
              <w:adjustRightInd w:val="0"/>
              <w:spacing w:line="240" w:lineRule="exact"/>
              <w:jc w:val="center"/>
              <w:rPr>
                <w:rFonts w:ascii="Times New Roman" w:hAnsi="Times New Roman" w:eastAsia="黑体" w:cs="Times New Roman"/>
                <w:bCs/>
                <w:sz w:val="18"/>
                <w:szCs w:val="18"/>
              </w:rPr>
            </w:pPr>
          </w:p>
        </w:tc>
        <w:tc>
          <w:tcPr>
            <w:tcW w:w="519" w:type="dxa"/>
            <w:vMerge w:val="continue"/>
            <w:tcBorders>
              <w:tl2br w:val="nil"/>
              <w:tr2bl w:val="nil"/>
            </w:tcBorders>
            <w:shd w:val="clear" w:color="auto" w:fill="auto"/>
            <w:tcMar>
              <w:top w:w="12" w:type="dxa"/>
              <w:left w:w="12" w:type="dxa"/>
              <w:right w:w="12" w:type="dxa"/>
            </w:tcMar>
            <w:vAlign w:val="center"/>
          </w:tcPr>
          <w:p w14:paraId="227E2B7B">
            <w:pPr>
              <w:adjustRightInd w:val="0"/>
              <w:spacing w:line="240" w:lineRule="exact"/>
              <w:jc w:val="center"/>
              <w:rPr>
                <w:rFonts w:ascii="Times New Roman" w:hAnsi="Times New Roman" w:eastAsia="黑体" w:cs="Times New Roman"/>
                <w:bCs/>
                <w:sz w:val="18"/>
                <w:szCs w:val="18"/>
              </w:rPr>
            </w:pPr>
          </w:p>
        </w:tc>
        <w:tc>
          <w:tcPr>
            <w:tcW w:w="1221" w:type="dxa"/>
            <w:vMerge w:val="continue"/>
            <w:tcBorders>
              <w:tl2br w:val="nil"/>
              <w:tr2bl w:val="nil"/>
            </w:tcBorders>
            <w:shd w:val="clear" w:color="auto" w:fill="auto"/>
            <w:tcMar>
              <w:top w:w="12" w:type="dxa"/>
              <w:left w:w="12" w:type="dxa"/>
              <w:right w:w="12" w:type="dxa"/>
            </w:tcMar>
            <w:vAlign w:val="center"/>
          </w:tcPr>
          <w:p w14:paraId="07BB6CE0">
            <w:pPr>
              <w:adjustRightInd w:val="0"/>
              <w:spacing w:line="240" w:lineRule="exact"/>
              <w:jc w:val="center"/>
              <w:rPr>
                <w:rFonts w:ascii="Times New Roman" w:hAnsi="Times New Roman" w:eastAsia="黑体" w:cs="Times New Roman"/>
                <w:bCs/>
                <w:sz w:val="18"/>
                <w:szCs w:val="18"/>
              </w:rPr>
            </w:pPr>
          </w:p>
        </w:tc>
        <w:tc>
          <w:tcPr>
            <w:tcW w:w="2370" w:type="dxa"/>
            <w:vMerge w:val="continue"/>
            <w:tcBorders>
              <w:tl2br w:val="nil"/>
              <w:tr2bl w:val="nil"/>
            </w:tcBorders>
            <w:shd w:val="clear" w:color="auto" w:fill="auto"/>
            <w:tcMar>
              <w:top w:w="12" w:type="dxa"/>
              <w:left w:w="12" w:type="dxa"/>
              <w:right w:w="12" w:type="dxa"/>
            </w:tcMar>
            <w:vAlign w:val="center"/>
          </w:tcPr>
          <w:p w14:paraId="682EADCF">
            <w:pPr>
              <w:adjustRightInd w:val="0"/>
              <w:spacing w:line="240" w:lineRule="exact"/>
              <w:jc w:val="center"/>
              <w:rPr>
                <w:rFonts w:ascii="Times New Roman" w:hAnsi="Times New Roman" w:eastAsia="黑体" w:cs="Times New Roman"/>
                <w:bCs/>
                <w:sz w:val="18"/>
                <w:szCs w:val="18"/>
              </w:rPr>
            </w:pPr>
          </w:p>
        </w:tc>
        <w:tc>
          <w:tcPr>
            <w:tcW w:w="579" w:type="dxa"/>
            <w:vMerge w:val="continue"/>
            <w:tcBorders>
              <w:tl2br w:val="nil"/>
              <w:tr2bl w:val="nil"/>
            </w:tcBorders>
            <w:shd w:val="clear" w:color="auto" w:fill="auto"/>
            <w:tcMar>
              <w:top w:w="12" w:type="dxa"/>
              <w:left w:w="12" w:type="dxa"/>
              <w:right w:w="12" w:type="dxa"/>
            </w:tcMar>
            <w:vAlign w:val="center"/>
          </w:tcPr>
          <w:p w14:paraId="23F4C895">
            <w:pPr>
              <w:adjustRightInd w:val="0"/>
              <w:spacing w:line="240" w:lineRule="exact"/>
              <w:jc w:val="center"/>
              <w:rPr>
                <w:rFonts w:ascii="Times New Roman" w:hAnsi="Times New Roman" w:eastAsia="黑体" w:cs="Times New Roman"/>
                <w:bCs/>
                <w:sz w:val="18"/>
                <w:szCs w:val="18"/>
              </w:rPr>
            </w:pPr>
          </w:p>
        </w:tc>
        <w:tc>
          <w:tcPr>
            <w:tcW w:w="469" w:type="dxa"/>
            <w:vMerge w:val="continue"/>
            <w:tcBorders>
              <w:tl2br w:val="nil"/>
              <w:tr2bl w:val="nil"/>
            </w:tcBorders>
            <w:shd w:val="clear" w:color="auto" w:fill="auto"/>
            <w:tcMar>
              <w:top w:w="12" w:type="dxa"/>
              <w:left w:w="12" w:type="dxa"/>
              <w:right w:w="12" w:type="dxa"/>
            </w:tcMar>
            <w:vAlign w:val="center"/>
          </w:tcPr>
          <w:p w14:paraId="084DD00D">
            <w:pPr>
              <w:adjustRightInd w:val="0"/>
              <w:spacing w:line="240" w:lineRule="exact"/>
              <w:jc w:val="center"/>
              <w:rPr>
                <w:rFonts w:ascii="Times New Roman" w:hAnsi="Times New Roman" w:eastAsia="黑体" w:cs="Times New Roman"/>
                <w:bCs/>
                <w:sz w:val="18"/>
                <w:szCs w:val="18"/>
              </w:rPr>
            </w:pPr>
          </w:p>
        </w:tc>
        <w:tc>
          <w:tcPr>
            <w:tcW w:w="540" w:type="dxa"/>
            <w:tcBorders>
              <w:tl2br w:val="nil"/>
              <w:tr2bl w:val="nil"/>
            </w:tcBorders>
            <w:shd w:val="clear" w:color="auto" w:fill="auto"/>
            <w:tcMar>
              <w:top w:w="12" w:type="dxa"/>
              <w:left w:w="12" w:type="dxa"/>
              <w:right w:w="12" w:type="dxa"/>
            </w:tcMar>
            <w:vAlign w:val="center"/>
          </w:tcPr>
          <w:p w14:paraId="6163BC58">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理论</w:t>
            </w:r>
          </w:p>
          <w:p w14:paraId="20605926">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讲授</w:t>
            </w:r>
          </w:p>
        </w:tc>
        <w:tc>
          <w:tcPr>
            <w:tcW w:w="570" w:type="dxa"/>
            <w:tcBorders>
              <w:tl2br w:val="nil"/>
              <w:tr2bl w:val="nil"/>
            </w:tcBorders>
            <w:shd w:val="clear" w:color="auto" w:fill="auto"/>
            <w:tcMar>
              <w:top w:w="12" w:type="dxa"/>
              <w:left w:w="12" w:type="dxa"/>
              <w:right w:w="12" w:type="dxa"/>
            </w:tcMar>
            <w:vAlign w:val="center"/>
          </w:tcPr>
          <w:p w14:paraId="58F0850D">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实验/</w:t>
            </w:r>
          </w:p>
          <w:p w14:paraId="75235BBF">
            <w:pPr>
              <w:adjustRightInd w:val="0"/>
              <w:spacing w:line="240" w:lineRule="exact"/>
              <w:jc w:val="center"/>
              <w:rPr>
                <w:rFonts w:ascii="Times New Roman" w:hAnsi="Times New Roman" w:eastAsia="黑体" w:cs="Times New Roman"/>
                <w:bCs/>
                <w:sz w:val="18"/>
                <w:szCs w:val="18"/>
              </w:rPr>
            </w:pPr>
            <w:r>
              <w:rPr>
                <w:rFonts w:hint="eastAsia" w:ascii="Times New Roman" w:hAnsi="Times New Roman" w:eastAsia="黑体" w:cs="Times New Roman"/>
                <w:bCs/>
                <w:sz w:val="18"/>
                <w:szCs w:val="18"/>
              </w:rPr>
              <w:t>实践</w:t>
            </w:r>
          </w:p>
        </w:tc>
        <w:tc>
          <w:tcPr>
            <w:tcW w:w="558" w:type="dxa"/>
            <w:vMerge w:val="continue"/>
            <w:tcBorders>
              <w:tl2br w:val="nil"/>
              <w:tr2bl w:val="nil"/>
            </w:tcBorders>
            <w:shd w:val="clear" w:color="auto" w:fill="auto"/>
            <w:tcMar>
              <w:top w:w="12" w:type="dxa"/>
              <w:left w:w="12" w:type="dxa"/>
              <w:right w:w="12" w:type="dxa"/>
            </w:tcMar>
            <w:vAlign w:val="center"/>
          </w:tcPr>
          <w:p w14:paraId="0768100F">
            <w:pPr>
              <w:jc w:val="center"/>
              <w:rPr>
                <w:rFonts w:ascii="宋体" w:hAnsi="宋体" w:eastAsia="宋体" w:cs="宋体"/>
                <w:color w:val="000000"/>
                <w:sz w:val="18"/>
                <w:szCs w:val="18"/>
              </w:rPr>
            </w:pPr>
          </w:p>
        </w:tc>
        <w:tc>
          <w:tcPr>
            <w:tcW w:w="619" w:type="dxa"/>
            <w:vMerge w:val="continue"/>
            <w:tcBorders>
              <w:tl2br w:val="nil"/>
              <w:tr2bl w:val="nil"/>
            </w:tcBorders>
            <w:shd w:val="clear" w:color="auto" w:fill="auto"/>
            <w:tcMar>
              <w:top w:w="12" w:type="dxa"/>
              <w:left w:w="12" w:type="dxa"/>
              <w:right w:w="12" w:type="dxa"/>
            </w:tcMar>
            <w:vAlign w:val="center"/>
          </w:tcPr>
          <w:p w14:paraId="7233AD9A">
            <w:pPr>
              <w:jc w:val="center"/>
              <w:rPr>
                <w:rFonts w:ascii="宋体" w:hAnsi="宋体" w:eastAsia="宋体" w:cs="宋体"/>
                <w:color w:val="000000"/>
                <w:sz w:val="18"/>
                <w:szCs w:val="18"/>
              </w:rPr>
            </w:pPr>
          </w:p>
        </w:tc>
        <w:tc>
          <w:tcPr>
            <w:tcW w:w="1541" w:type="dxa"/>
            <w:vMerge w:val="continue"/>
            <w:tcBorders>
              <w:tl2br w:val="nil"/>
              <w:tr2bl w:val="nil"/>
            </w:tcBorders>
            <w:shd w:val="clear" w:color="auto" w:fill="auto"/>
            <w:tcMar>
              <w:top w:w="12" w:type="dxa"/>
              <w:left w:w="12" w:type="dxa"/>
              <w:right w:w="12" w:type="dxa"/>
            </w:tcMar>
            <w:vAlign w:val="center"/>
          </w:tcPr>
          <w:p w14:paraId="0FC2E4DF">
            <w:pPr>
              <w:jc w:val="center"/>
              <w:rPr>
                <w:rFonts w:ascii="宋体" w:hAnsi="宋体" w:eastAsia="宋体" w:cs="宋体"/>
                <w:color w:val="000000"/>
                <w:sz w:val="18"/>
                <w:szCs w:val="18"/>
              </w:rPr>
            </w:pPr>
          </w:p>
        </w:tc>
      </w:tr>
      <w:tr w14:paraId="2B1A02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restart"/>
            <w:tcBorders>
              <w:tl2br w:val="nil"/>
              <w:tr2bl w:val="nil"/>
            </w:tcBorders>
            <w:shd w:val="clear" w:color="auto" w:fill="auto"/>
            <w:tcMar>
              <w:top w:w="12" w:type="dxa"/>
              <w:left w:w="12" w:type="dxa"/>
              <w:right w:w="12" w:type="dxa"/>
            </w:tcMar>
            <w:vAlign w:val="center"/>
          </w:tcPr>
          <w:p w14:paraId="400A26E5">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通识教育</w:t>
            </w:r>
          </w:p>
        </w:tc>
        <w:tc>
          <w:tcPr>
            <w:tcW w:w="519" w:type="dxa"/>
            <w:vMerge w:val="restart"/>
            <w:tcBorders>
              <w:tl2br w:val="nil"/>
              <w:tr2bl w:val="nil"/>
            </w:tcBorders>
            <w:shd w:val="clear" w:color="auto" w:fill="auto"/>
            <w:tcMar>
              <w:top w:w="12" w:type="dxa"/>
              <w:left w:w="12" w:type="dxa"/>
              <w:right w:w="12" w:type="dxa"/>
            </w:tcMar>
            <w:vAlign w:val="center"/>
          </w:tcPr>
          <w:p w14:paraId="55CFEAD3">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通识</w:t>
            </w:r>
          </w:p>
          <w:p w14:paraId="07BD2293">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0D6640C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1221" w:type="dxa"/>
            <w:tcBorders>
              <w:tl2br w:val="nil"/>
              <w:tr2bl w:val="nil"/>
            </w:tcBorders>
            <w:shd w:val="clear" w:color="auto" w:fill="FFFFFF"/>
            <w:tcMar>
              <w:top w:w="12" w:type="dxa"/>
              <w:left w:w="12" w:type="dxa"/>
              <w:right w:w="12" w:type="dxa"/>
            </w:tcMar>
            <w:vAlign w:val="center"/>
          </w:tcPr>
          <w:p w14:paraId="683F0BF5">
            <w:pPr>
              <w:adjustRightInd w:val="0"/>
              <w:snapToGrid w:val="0"/>
              <w:jc w:val="center"/>
              <w:rPr>
                <w:rFonts w:ascii="Times New Roman" w:hAnsi="Times New Roman" w:cs="Times New Roman"/>
                <w:bCs/>
                <w:kern w:val="0"/>
                <w:sz w:val="17"/>
                <w:szCs w:val="17"/>
              </w:rPr>
            </w:pPr>
            <w:r>
              <w:rPr>
                <w:rFonts w:ascii="Times New Roman" w:hAnsi="Times New Roman" w:cs="宋体"/>
                <w:bCs/>
                <w:sz w:val="17"/>
                <w:szCs w:val="17"/>
              </w:rPr>
              <w:t>3321271002</w:t>
            </w:r>
          </w:p>
        </w:tc>
        <w:tc>
          <w:tcPr>
            <w:tcW w:w="2370" w:type="dxa"/>
            <w:tcBorders>
              <w:tl2br w:val="nil"/>
              <w:tr2bl w:val="nil"/>
            </w:tcBorders>
            <w:shd w:val="clear" w:color="auto" w:fill="auto"/>
            <w:tcMar>
              <w:top w:w="12" w:type="dxa"/>
              <w:left w:w="12" w:type="dxa"/>
              <w:right w:w="12" w:type="dxa"/>
            </w:tcMar>
            <w:vAlign w:val="center"/>
          </w:tcPr>
          <w:p w14:paraId="11D89AC6">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思想道德与法治</w:t>
            </w:r>
          </w:p>
          <w:p w14:paraId="6CE7C6A1">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Ideology and Morality and Rule of Law</w:t>
            </w:r>
          </w:p>
        </w:tc>
        <w:tc>
          <w:tcPr>
            <w:tcW w:w="579" w:type="dxa"/>
            <w:tcBorders>
              <w:tl2br w:val="nil"/>
              <w:tr2bl w:val="nil"/>
            </w:tcBorders>
            <w:shd w:val="clear" w:color="auto" w:fill="auto"/>
            <w:tcMar>
              <w:top w:w="12" w:type="dxa"/>
              <w:left w:w="12" w:type="dxa"/>
              <w:right w:w="12" w:type="dxa"/>
            </w:tcMar>
            <w:vAlign w:val="center"/>
          </w:tcPr>
          <w:p w14:paraId="22F0DEE4">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469" w:type="dxa"/>
            <w:tcBorders>
              <w:tl2br w:val="nil"/>
              <w:tr2bl w:val="nil"/>
            </w:tcBorders>
            <w:shd w:val="clear" w:color="auto" w:fill="auto"/>
            <w:tcMar>
              <w:top w:w="12" w:type="dxa"/>
              <w:left w:w="12" w:type="dxa"/>
              <w:right w:w="12" w:type="dxa"/>
            </w:tcMar>
            <w:vAlign w:val="center"/>
          </w:tcPr>
          <w:p w14:paraId="7ABBBE4C">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540" w:type="dxa"/>
            <w:tcBorders>
              <w:tl2br w:val="nil"/>
              <w:tr2bl w:val="nil"/>
            </w:tcBorders>
            <w:shd w:val="clear" w:color="auto" w:fill="auto"/>
            <w:tcMar>
              <w:top w:w="12" w:type="dxa"/>
              <w:left w:w="12" w:type="dxa"/>
              <w:right w:w="12" w:type="dxa"/>
            </w:tcMar>
            <w:vAlign w:val="center"/>
          </w:tcPr>
          <w:p w14:paraId="21EDB487">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40</w:t>
            </w:r>
          </w:p>
        </w:tc>
        <w:tc>
          <w:tcPr>
            <w:tcW w:w="570" w:type="dxa"/>
            <w:tcBorders>
              <w:tl2br w:val="nil"/>
              <w:tr2bl w:val="nil"/>
            </w:tcBorders>
            <w:shd w:val="clear" w:color="auto" w:fill="auto"/>
            <w:tcMar>
              <w:top w:w="12" w:type="dxa"/>
              <w:left w:w="12" w:type="dxa"/>
              <w:right w:w="12" w:type="dxa"/>
            </w:tcMar>
            <w:vAlign w:val="center"/>
          </w:tcPr>
          <w:p w14:paraId="765E22E1">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558" w:type="dxa"/>
            <w:tcBorders>
              <w:tl2br w:val="nil"/>
              <w:tr2bl w:val="nil"/>
            </w:tcBorders>
            <w:shd w:val="clear" w:color="auto" w:fill="auto"/>
            <w:tcMar>
              <w:top w:w="12" w:type="dxa"/>
              <w:left w:w="12" w:type="dxa"/>
              <w:right w:w="12" w:type="dxa"/>
            </w:tcMar>
            <w:vAlign w:val="center"/>
          </w:tcPr>
          <w:p w14:paraId="1D99C56A">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0C1B0612">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018E65FE">
            <w:pPr>
              <w:adjustRightInd w:val="0"/>
              <w:spacing w:line="200" w:lineRule="exact"/>
              <w:jc w:val="center"/>
              <w:rPr>
                <w:rFonts w:ascii="Times New Roman" w:hAnsi="Times New Roman" w:cs="Times New Roman"/>
                <w:bCs/>
                <w:kern w:val="0"/>
                <w:sz w:val="17"/>
                <w:szCs w:val="17"/>
              </w:rPr>
            </w:pPr>
          </w:p>
        </w:tc>
      </w:tr>
      <w:tr w14:paraId="1E3BB7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0B1FBD6">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5BF778A">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15DB78BB">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3321271001</w:t>
            </w:r>
          </w:p>
        </w:tc>
        <w:tc>
          <w:tcPr>
            <w:tcW w:w="2370" w:type="dxa"/>
            <w:tcBorders>
              <w:tl2br w:val="nil"/>
              <w:tr2bl w:val="nil"/>
            </w:tcBorders>
            <w:shd w:val="clear" w:color="auto" w:fill="auto"/>
            <w:tcMar>
              <w:top w:w="12" w:type="dxa"/>
              <w:left w:w="12" w:type="dxa"/>
              <w:right w:w="12" w:type="dxa"/>
            </w:tcMar>
            <w:vAlign w:val="center"/>
          </w:tcPr>
          <w:p w14:paraId="113A5471">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711B520F">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 to Mao’s Thoughts and Theoretical System of the Chinese Characteristics Socialism</w:t>
            </w:r>
          </w:p>
        </w:tc>
        <w:tc>
          <w:tcPr>
            <w:tcW w:w="579" w:type="dxa"/>
            <w:tcBorders>
              <w:tl2br w:val="nil"/>
              <w:tr2bl w:val="nil"/>
            </w:tcBorders>
            <w:shd w:val="clear" w:color="auto" w:fill="auto"/>
            <w:tcMar>
              <w:top w:w="12" w:type="dxa"/>
              <w:left w:w="12" w:type="dxa"/>
              <w:right w:w="12" w:type="dxa"/>
            </w:tcMar>
            <w:vAlign w:val="center"/>
          </w:tcPr>
          <w:p w14:paraId="7E262491">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469" w:type="dxa"/>
            <w:tcBorders>
              <w:tl2br w:val="nil"/>
              <w:tr2bl w:val="nil"/>
            </w:tcBorders>
            <w:shd w:val="clear" w:color="auto" w:fill="auto"/>
            <w:tcMar>
              <w:top w:w="12" w:type="dxa"/>
              <w:left w:w="12" w:type="dxa"/>
              <w:right w:w="12" w:type="dxa"/>
            </w:tcMar>
            <w:vAlign w:val="center"/>
          </w:tcPr>
          <w:p w14:paraId="3E2E42A4">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3C526419">
            <w:pPr>
              <w:adjustRightInd w:val="0"/>
              <w:snapToGrid w:val="0"/>
              <w:jc w:val="center"/>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570" w:type="dxa"/>
            <w:tcBorders>
              <w:tl2br w:val="nil"/>
              <w:tr2bl w:val="nil"/>
            </w:tcBorders>
            <w:shd w:val="clear" w:color="auto" w:fill="auto"/>
            <w:tcMar>
              <w:top w:w="12" w:type="dxa"/>
              <w:left w:w="12" w:type="dxa"/>
              <w:right w:w="12" w:type="dxa"/>
            </w:tcMar>
            <w:vAlign w:val="center"/>
          </w:tcPr>
          <w:p w14:paraId="67CB90D9">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558" w:type="dxa"/>
            <w:tcBorders>
              <w:tl2br w:val="nil"/>
              <w:tr2bl w:val="nil"/>
            </w:tcBorders>
            <w:shd w:val="clear" w:color="auto" w:fill="auto"/>
            <w:tcMar>
              <w:top w:w="12" w:type="dxa"/>
              <w:left w:w="12" w:type="dxa"/>
              <w:right w:w="12" w:type="dxa"/>
            </w:tcMar>
            <w:vAlign w:val="center"/>
          </w:tcPr>
          <w:p w14:paraId="6697B111">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0027C1CE">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04B385A6">
            <w:pPr>
              <w:adjustRightInd w:val="0"/>
              <w:spacing w:line="200" w:lineRule="exact"/>
              <w:jc w:val="center"/>
              <w:rPr>
                <w:rFonts w:ascii="Times New Roman" w:hAnsi="Times New Roman" w:cs="Times New Roman"/>
                <w:bCs/>
                <w:kern w:val="0"/>
                <w:sz w:val="17"/>
                <w:szCs w:val="17"/>
              </w:rPr>
            </w:pPr>
          </w:p>
        </w:tc>
      </w:tr>
      <w:tr w14:paraId="773EC52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25E6DC1">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C6984D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5BE1E8A1">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3321271003</w:t>
            </w:r>
          </w:p>
        </w:tc>
        <w:tc>
          <w:tcPr>
            <w:tcW w:w="2370" w:type="dxa"/>
            <w:tcBorders>
              <w:tl2br w:val="nil"/>
              <w:tr2bl w:val="nil"/>
            </w:tcBorders>
            <w:shd w:val="clear" w:color="auto" w:fill="auto"/>
            <w:tcMar>
              <w:top w:w="12" w:type="dxa"/>
              <w:left w:w="12" w:type="dxa"/>
              <w:right w:w="12" w:type="dxa"/>
            </w:tcMar>
            <w:vAlign w:val="center"/>
          </w:tcPr>
          <w:p w14:paraId="69ED6ADF">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36293370">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Introduction of the Xi Jinping Thought on Socialism with Chinese Characteristic for a New Era</w:t>
            </w:r>
          </w:p>
        </w:tc>
        <w:tc>
          <w:tcPr>
            <w:tcW w:w="579" w:type="dxa"/>
            <w:tcBorders>
              <w:tl2br w:val="nil"/>
              <w:tr2bl w:val="nil"/>
            </w:tcBorders>
            <w:shd w:val="clear" w:color="auto" w:fill="auto"/>
            <w:tcMar>
              <w:top w:w="12" w:type="dxa"/>
              <w:left w:w="12" w:type="dxa"/>
              <w:right w:w="12" w:type="dxa"/>
            </w:tcMar>
            <w:vAlign w:val="center"/>
          </w:tcPr>
          <w:p w14:paraId="6D77CD65">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w:t>
            </w:r>
          </w:p>
        </w:tc>
        <w:tc>
          <w:tcPr>
            <w:tcW w:w="469" w:type="dxa"/>
            <w:tcBorders>
              <w:tl2br w:val="nil"/>
              <w:tr2bl w:val="nil"/>
            </w:tcBorders>
            <w:shd w:val="clear" w:color="auto" w:fill="auto"/>
            <w:tcMar>
              <w:top w:w="12" w:type="dxa"/>
              <w:left w:w="12" w:type="dxa"/>
              <w:right w:w="12" w:type="dxa"/>
            </w:tcMar>
            <w:vAlign w:val="center"/>
          </w:tcPr>
          <w:p w14:paraId="550FBC55">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416F1E4C">
            <w:pPr>
              <w:adjustRightInd w:val="0"/>
              <w:snapToGrid w:val="0"/>
              <w:jc w:val="center"/>
              <w:rPr>
                <w:rFonts w:ascii="Times New Roman" w:hAnsi="Times New Roman" w:cs="Times New Roman"/>
                <w:bCs/>
                <w:kern w:val="0"/>
                <w:sz w:val="17"/>
                <w:szCs w:val="17"/>
              </w:rPr>
            </w:pPr>
            <w:r>
              <w:rPr>
                <w:rFonts w:hint="eastAsia" w:ascii="Times New Roman" w:hAnsi="Times New Roman" w:cs="宋体"/>
                <w:bCs/>
                <w:color w:val="000000" w:themeColor="text1"/>
                <w:kern w:val="0"/>
                <w:sz w:val="17"/>
                <w:szCs w:val="17"/>
                <w14:textFill>
                  <w14:solidFill>
                    <w14:schemeClr w14:val="tx1"/>
                  </w14:solidFill>
                </w14:textFill>
              </w:rPr>
              <w:t>4</w:t>
            </w:r>
            <w:r>
              <w:rPr>
                <w:rFonts w:ascii="Times New Roman" w:hAnsi="Times New Roman" w:cs="宋体"/>
                <w:bCs/>
                <w:color w:val="000000" w:themeColor="text1"/>
                <w:kern w:val="0"/>
                <w:sz w:val="17"/>
                <w:szCs w:val="17"/>
                <w14:textFill>
                  <w14:solidFill>
                    <w14:schemeClr w14:val="tx1"/>
                  </w14:solidFill>
                </w14:textFill>
              </w:rPr>
              <w:t>0</w:t>
            </w:r>
          </w:p>
        </w:tc>
        <w:tc>
          <w:tcPr>
            <w:tcW w:w="570" w:type="dxa"/>
            <w:tcBorders>
              <w:tl2br w:val="nil"/>
              <w:tr2bl w:val="nil"/>
            </w:tcBorders>
            <w:shd w:val="clear" w:color="auto" w:fill="auto"/>
            <w:tcMar>
              <w:top w:w="12" w:type="dxa"/>
              <w:left w:w="12" w:type="dxa"/>
              <w:right w:w="12" w:type="dxa"/>
            </w:tcMar>
            <w:vAlign w:val="center"/>
          </w:tcPr>
          <w:p w14:paraId="226E874E">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558" w:type="dxa"/>
            <w:tcBorders>
              <w:tl2br w:val="nil"/>
              <w:tr2bl w:val="nil"/>
            </w:tcBorders>
            <w:shd w:val="clear" w:color="auto" w:fill="auto"/>
            <w:tcMar>
              <w:top w:w="12" w:type="dxa"/>
              <w:left w:w="12" w:type="dxa"/>
              <w:right w:w="12" w:type="dxa"/>
            </w:tcMar>
            <w:vAlign w:val="center"/>
          </w:tcPr>
          <w:p w14:paraId="16CA3C7D">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1FDC51F1">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1541" w:type="dxa"/>
            <w:tcBorders>
              <w:tl2br w:val="nil"/>
              <w:tr2bl w:val="nil"/>
            </w:tcBorders>
            <w:shd w:val="clear" w:color="auto" w:fill="auto"/>
            <w:tcMar>
              <w:top w:w="12" w:type="dxa"/>
              <w:left w:w="12" w:type="dxa"/>
              <w:right w:w="12" w:type="dxa"/>
            </w:tcMar>
            <w:vAlign w:val="center"/>
          </w:tcPr>
          <w:p w14:paraId="74804F75">
            <w:pPr>
              <w:adjustRightInd w:val="0"/>
              <w:spacing w:line="200" w:lineRule="exact"/>
              <w:jc w:val="center"/>
              <w:rPr>
                <w:rFonts w:ascii="Times New Roman" w:hAnsi="Times New Roman" w:cs="Times New Roman"/>
                <w:bCs/>
                <w:kern w:val="0"/>
                <w:sz w:val="17"/>
                <w:szCs w:val="17"/>
              </w:rPr>
            </w:pPr>
          </w:p>
        </w:tc>
      </w:tr>
      <w:tr w14:paraId="337F4A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1FD3521">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23CB41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744BFA90">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3321171001</w:t>
            </w:r>
          </w:p>
        </w:tc>
        <w:tc>
          <w:tcPr>
            <w:tcW w:w="2370" w:type="dxa"/>
            <w:tcBorders>
              <w:tl2br w:val="nil"/>
              <w:tr2bl w:val="nil"/>
            </w:tcBorders>
            <w:shd w:val="clear" w:color="auto" w:fill="auto"/>
            <w:tcMar>
              <w:top w:w="12" w:type="dxa"/>
              <w:left w:w="12" w:type="dxa"/>
              <w:right w:w="12" w:type="dxa"/>
            </w:tcMar>
            <w:vAlign w:val="center"/>
          </w:tcPr>
          <w:p w14:paraId="7557A3F1">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0CB16ED8">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Policy and Political Situation Analysis</w:t>
            </w:r>
          </w:p>
        </w:tc>
        <w:tc>
          <w:tcPr>
            <w:tcW w:w="579" w:type="dxa"/>
            <w:tcBorders>
              <w:tl2br w:val="nil"/>
              <w:tr2bl w:val="nil"/>
            </w:tcBorders>
            <w:shd w:val="clear" w:color="auto" w:fill="auto"/>
            <w:tcMar>
              <w:top w:w="12" w:type="dxa"/>
              <w:left w:w="12" w:type="dxa"/>
              <w:right w:w="12" w:type="dxa"/>
            </w:tcMar>
            <w:vAlign w:val="center"/>
          </w:tcPr>
          <w:p w14:paraId="34780117">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469" w:type="dxa"/>
            <w:tcBorders>
              <w:tl2br w:val="nil"/>
              <w:tr2bl w:val="nil"/>
            </w:tcBorders>
            <w:shd w:val="clear" w:color="auto" w:fill="auto"/>
            <w:tcMar>
              <w:top w:w="12" w:type="dxa"/>
              <w:left w:w="12" w:type="dxa"/>
              <w:right w:w="12" w:type="dxa"/>
            </w:tcMar>
            <w:vAlign w:val="center"/>
          </w:tcPr>
          <w:p w14:paraId="56DBED30">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7B9BAD7F">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themeColor="text1"/>
                <w:kern w:val="0"/>
                <w:sz w:val="17"/>
                <w:szCs w:val="17"/>
                <w14:textFill>
                  <w14:solidFill>
                    <w14:schemeClr w14:val="tx1"/>
                  </w14:solidFill>
                </w14:textFill>
              </w:rPr>
              <w:t>48</w:t>
            </w:r>
          </w:p>
        </w:tc>
        <w:tc>
          <w:tcPr>
            <w:tcW w:w="570" w:type="dxa"/>
            <w:tcBorders>
              <w:tl2br w:val="nil"/>
              <w:tr2bl w:val="nil"/>
            </w:tcBorders>
            <w:shd w:val="clear" w:color="auto" w:fill="auto"/>
            <w:tcMar>
              <w:top w:w="12" w:type="dxa"/>
              <w:left w:w="12" w:type="dxa"/>
              <w:right w:w="12" w:type="dxa"/>
            </w:tcMar>
            <w:vAlign w:val="center"/>
          </w:tcPr>
          <w:p w14:paraId="159D1230">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5417C2A2">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6C871586">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1-6</w:t>
            </w:r>
          </w:p>
        </w:tc>
        <w:tc>
          <w:tcPr>
            <w:tcW w:w="1541" w:type="dxa"/>
            <w:tcBorders>
              <w:tl2br w:val="nil"/>
              <w:tr2bl w:val="nil"/>
            </w:tcBorders>
            <w:shd w:val="clear" w:color="auto" w:fill="auto"/>
            <w:tcMar>
              <w:top w:w="12" w:type="dxa"/>
              <w:left w:w="12" w:type="dxa"/>
              <w:right w:w="12" w:type="dxa"/>
            </w:tcMar>
            <w:vAlign w:val="center"/>
          </w:tcPr>
          <w:p w14:paraId="5A16E929">
            <w:pPr>
              <w:adjustRightInd w:val="0"/>
              <w:spacing w:line="200" w:lineRule="exact"/>
              <w:jc w:val="center"/>
              <w:rPr>
                <w:rFonts w:ascii="Times New Roman" w:hAnsi="Times New Roman" w:cs="Times New Roman"/>
                <w:bCs/>
                <w:kern w:val="0"/>
                <w:sz w:val="17"/>
                <w:szCs w:val="17"/>
              </w:rPr>
            </w:pPr>
          </w:p>
        </w:tc>
      </w:tr>
      <w:tr w14:paraId="3E48D9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1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8503491">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365AB154">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7C052581">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5321283001</w:t>
            </w:r>
          </w:p>
        </w:tc>
        <w:tc>
          <w:tcPr>
            <w:tcW w:w="2370" w:type="dxa"/>
            <w:tcBorders>
              <w:tl2br w:val="nil"/>
              <w:tr2bl w:val="nil"/>
            </w:tcBorders>
            <w:shd w:val="clear" w:color="auto" w:fill="auto"/>
            <w:tcMar>
              <w:top w:w="12" w:type="dxa"/>
              <w:left w:w="12" w:type="dxa"/>
              <w:right w:w="12" w:type="dxa"/>
            </w:tcMar>
            <w:vAlign w:val="center"/>
          </w:tcPr>
          <w:p w14:paraId="16557E8A">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军事技能</w:t>
            </w:r>
          </w:p>
          <w:p w14:paraId="4297F1AF">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 Training</w:t>
            </w:r>
          </w:p>
        </w:tc>
        <w:tc>
          <w:tcPr>
            <w:tcW w:w="579" w:type="dxa"/>
            <w:tcBorders>
              <w:tl2br w:val="nil"/>
              <w:tr2bl w:val="nil"/>
            </w:tcBorders>
            <w:shd w:val="clear" w:color="auto" w:fill="auto"/>
            <w:tcMar>
              <w:top w:w="12" w:type="dxa"/>
              <w:left w:w="12" w:type="dxa"/>
              <w:right w:w="12" w:type="dxa"/>
            </w:tcMar>
            <w:vAlign w:val="center"/>
          </w:tcPr>
          <w:p w14:paraId="7FBA2A4D">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3</w:t>
            </w:r>
          </w:p>
        </w:tc>
        <w:tc>
          <w:tcPr>
            <w:tcW w:w="469" w:type="dxa"/>
            <w:tcBorders>
              <w:tl2br w:val="nil"/>
              <w:tr2bl w:val="nil"/>
            </w:tcBorders>
            <w:shd w:val="clear" w:color="auto" w:fill="auto"/>
            <w:tcMar>
              <w:top w:w="12" w:type="dxa"/>
              <w:left w:w="12" w:type="dxa"/>
              <w:right w:w="12" w:type="dxa"/>
            </w:tcMar>
            <w:vAlign w:val="center"/>
          </w:tcPr>
          <w:p w14:paraId="413338A8">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90</w:t>
            </w:r>
          </w:p>
        </w:tc>
        <w:tc>
          <w:tcPr>
            <w:tcW w:w="540" w:type="dxa"/>
            <w:tcBorders>
              <w:tl2br w:val="nil"/>
              <w:tr2bl w:val="nil"/>
            </w:tcBorders>
            <w:shd w:val="clear" w:color="auto" w:fill="auto"/>
            <w:tcMar>
              <w:top w:w="12" w:type="dxa"/>
              <w:left w:w="12" w:type="dxa"/>
              <w:right w:w="12" w:type="dxa"/>
            </w:tcMar>
            <w:vAlign w:val="center"/>
          </w:tcPr>
          <w:p w14:paraId="2BA67DA0">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70" w:type="dxa"/>
            <w:tcBorders>
              <w:tl2br w:val="nil"/>
              <w:tr2bl w:val="nil"/>
            </w:tcBorders>
            <w:shd w:val="clear" w:color="auto" w:fill="auto"/>
            <w:noWrap/>
            <w:tcMar>
              <w:top w:w="12" w:type="dxa"/>
              <w:left w:w="12" w:type="dxa"/>
              <w:right w:w="12" w:type="dxa"/>
            </w:tcMar>
            <w:vAlign w:val="center"/>
          </w:tcPr>
          <w:p w14:paraId="595E6AD3">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90</w:t>
            </w:r>
          </w:p>
        </w:tc>
        <w:tc>
          <w:tcPr>
            <w:tcW w:w="558" w:type="dxa"/>
            <w:tcBorders>
              <w:tl2br w:val="nil"/>
              <w:tr2bl w:val="nil"/>
            </w:tcBorders>
            <w:shd w:val="clear" w:color="auto" w:fill="auto"/>
            <w:tcMar>
              <w:top w:w="12" w:type="dxa"/>
              <w:left w:w="12" w:type="dxa"/>
              <w:right w:w="12" w:type="dxa"/>
            </w:tcMar>
            <w:vAlign w:val="center"/>
          </w:tcPr>
          <w:p w14:paraId="6380D839">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08405D10">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4771645B">
            <w:pPr>
              <w:adjustRightInd w:val="0"/>
              <w:spacing w:line="200" w:lineRule="exact"/>
              <w:jc w:val="center"/>
              <w:rPr>
                <w:rFonts w:ascii="Times New Roman" w:hAnsi="Times New Roman" w:cs="Times New Roman"/>
                <w:bCs/>
                <w:kern w:val="0"/>
                <w:sz w:val="17"/>
                <w:szCs w:val="17"/>
              </w:rPr>
            </w:pPr>
          </w:p>
        </w:tc>
      </w:tr>
      <w:tr w14:paraId="666378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FFA88B4">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2DA91C7">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7B863566">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3221183001</w:t>
            </w:r>
          </w:p>
        </w:tc>
        <w:tc>
          <w:tcPr>
            <w:tcW w:w="2370" w:type="dxa"/>
            <w:tcBorders>
              <w:tl2br w:val="nil"/>
              <w:tr2bl w:val="nil"/>
            </w:tcBorders>
            <w:shd w:val="clear" w:color="auto" w:fill="auto"/>
            <w:tcMar>
              <w:top w:w="12" w:type="dxa"/>
              <w:left w:w="12" w:type="dxa"/>
              <w:right w:w="12" w:type="dxa"/>
            </w:tcMar>
            <w:vAlign w:val="center"/>
          </w:tcPr>
          <w:p w14:paraId="581485D8">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军事理论</w:t>
            </w:r>
          </w:p>
          <w:p w14:paraId="59526472">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Military Course</w:t>
            </w:r>
          </w:p>
        </w:tc>
        <w:tc>
          <w:tcPr>
            <w:tcW w:w="579" w:type="dxa"/>
            <w:tcBorders>
              <w:tl2br w:val="nil"/>
              <w:tr2bl w:val="nil"/>
            </w:tcBorders>
            <w:shd w:val="clear" w:color="auto" w:fill="auto"/>
            <w:tcMar>
              <w:top w:w="12" w:type="dxa"/>
              <w:left w:w="12" w:type="dxa"/>
              <w:right w:w="12" w:type="dxa"/>
            </w:tcMar>
            <w:vAlign w:val="center"/>
          </w:tcPr>
          <w:p w14:paraId="3643E732">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2</w:t>
            </w:r>
          </w:p>
        </w:tc>
        <w:tc>
          <w:tcPr>
            <w:tcW w:w="469" w:type="dxa"/>
            <w:tcBorders>
              <w:tl2br w:val="nil"/>
              <w:tr2bl w:val="nil"/>
            </w:tcBorders>
            <w:shd w:val="clear" w:color="auto" w:fill="auto"/>
            <w:tcMar>
              <w:top w:w="12" w:type="dxa"/>
              <w:left w:w="12" w:type="dxa"/>
              <w:right w:w="12" w:type="dxa"/>
            </w:tcMar>
            <w:vAlign w:val="center"/>
          </w:tcPr>
          <w:p w14:paraId="06055870">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540" w:type="dxa"/>
            <w:tcBorders>
              <w:tl2br w:val="nil"/>
              <w:tr2bl w:val="nil"/>
            </w:tcBorders>
            <w:shd w:val="clear" w:color="auto" w:fill="auto"/>
            <w:tcMar>
              <w:top w:w="12" w:type="dxa"/>
              <w:left w:w="12" w:type="dxa"/>
              <w:right w:w="12" w:type="dxa"/>
            </w:tcMar>
            <w:vAlign w:val="center"/>
          </w:tcPr>
          <w:p w14:paraId="136C1CE3">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36</w:t>
            </w:r>
          </w:p>
        </w:tc>
        <w:tc>
          <w:tcPr>
            <w:tcW w:w="570" w:type="dxa"/>
            <w:tcBorders>
              <w:tl2br w:val="nil"/>
              <w:tr2bl w:val="nil"/>
            </w:tcBorders>
            <w:shd w:val="clear" w:color="auto" w:fill="auto"/>
            <w:tcMar>
              <w:top w:w="12" w:type="dxa"/>
              <w:left w:w="12" w:type="dxa"/>
              <w:right w:w="12" w:type="dxa"/>
            </w:tcMar>
            <w:vAlign w:val="center"/>
          </w:tcPr>
          <w:p w14:paraId="027ECD78">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2CFEBC09">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2156B98A">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1F74390D">
            <w:pPr>
              <w:adjustRightInd w:val="0"/>
              <w:spacing w:line="200" w:lineRule="exact"/>
              <w:jc w:val="center"/>
              <w:rPr>
                <w:rFonts w:ascii="Times New Roman" w:hAnsi="Times New Roman" w:cs="Times New Roman"/>
                <w:bCs/>
                <w:kern w:val="0"/>
                <w:sz w:val="17"/>
                <w:szCs w:val="17"/>
              </w:rPr>
            </w:pPr>
          </w:p>
        </w:tc>
      </w:tr>
      <w:tr w14:paraId="15BD23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7770F0D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9EE3AE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2F8FA336">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3221174001</w:t>
            </w:r>
          </w:p>
        </w:tc>
        <w:tc>
          <w:tcPr>
            <w:tcW w:w="2370" w:type="dxa"/>
            <w:tcBorders>
              <w:tl2br w:val="nil"/>
              <w:tr2bl w:val="nil"/>
            </w:tcBorders>
            <w:shd w:val="clear" w:color="auto" w:fill="auto"/>
            <w:tcMar>
              <w:top w:w="12" w:type="dxa"/>
              <w:left w:w="12" w:type="dxa"/>
              <w:right w:w="12" w:type="dxa"/>
            </w:tcMar>
            <w:vAlign w:val="center"/>
          </w:tcPr>
          <w:p w14:paraId="24F74E77">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6FA6491B">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bidi="ar"/>
              </w:rPr>
              <w:t xml:space="preserve"> (I)</w:t>
            </w:r>
          </w:p>
        </w:tc>
        <w:tc>
          <w:tcPr>
            <w:tcW w:w="579" w:type="dxa"/>
            <w:tcBorders>
              <w:tl2br w:val="nil"/>
              <w:tr2bl w:val="nil"/>
            </w:tcBorders>
            <w:shd w:val="clear" w:color="auto" w:fill="auto"/>
            <w:tcMar>
              <w:top w:w="12" w:type="dxa"/>
              <w:left w:w="12" w:type="dxa"/>
              <w:right w:w="12" w:type="dxa"/>
            </w:tcMar>
            <w:vAlign w:val="center"/>
          </w:tcPr>
          <w:p w14:paraId="38603D89">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4</w:t>
            </w:r>
          </w:p>
        </w:tc>
        <w:tc>
          <w:tcPr>
            <w:tcW w:w="469" w:type="dxa"/>
            <w:tcBorders>
              <w:tl2br w:val="nil"/>
              <w:tr2bl w:val="nil"/>
            </w:tcBorders>
            <w:shd w:val="clear" w:color="auto" w:fill="auto"/>
            <w:tcMar>
              <w:top w:w="12" w:type="dxa"/>
              <w:left w:w="12" w:type="dxa"/>
              <w:right w:w="12" w:type="dxa"/>
            </w:tcMar>
            <w:vAlign w:val="center"/>
          </w:tcPr>
          <w:p w14:paraId="66808948">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540" w:type="dxa"/>
            <w:tcBorders>
              <w:tl2br w:val="nil"/>
              <w:tr2bl w:val="nil"/>
            </w:tcBorders>
            <w:shd w:val="clear" w:color="auto" w:fill="auto"/>
            <w:tcMar>
              <w:top w:w="12" w:type="dxa"/>
              <w:left w:w="12" w:type="dxa"/>
              <w:right w:w="12" w:type="dxa"/>
            </w:tcMar>
            <w:vAlign w:val="center"/>
          </w:tcPr>
          <w:p w14:paraId="057A412F">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570" w:type="dxa"/>
            <w:tcBorders>
              <w:tl2br w:val="nil"/>
              <w:tr2bl w:val="nil"/>
            </w:tcBorders>
            <w:shd w:val="clear" w:color="auto" w:fill="auto"/>
            <w:tcMar>
              <w:top w:w="12" w:type="dxa"/>
              <w:left w:w="12" w:type="dxa"/>
              <w:right w:w="12" w:type="dxa"/>
            </w:tcMar>
            <w:vAlign w:val="center"/>
          </w:tcPr>
          <w:p w14:paraId="1209D545">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42B0221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57A38035">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09A8C1B0">
            <w:pPr>
              <w:adjustRightInd w:val="0"/>
              <w:spacing w:line="200" w:lineRule="exact"/>
              <w:jc w:val="center"/>
              <w:rPr>
                <w:rFonts w:ascii="Times New Roman" w:hAnsi="Times New Roman" w:cs="Times New Roman"/>
                <w:bCs/>
                <w:kern w:val="0"/>
                <w:sz w:val="17"/>
                <w:szCs w:val="17"/>
              </w:rPr>
            </w:pPr>
          </w:p>
        </w:tc>
      </w:tr>
      <w:tr w14:paraId="2AC994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65798F7">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897F0E8">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393C5510">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3221174002</w:t>
            </w:r>
          </w:p>
        </w:tc>
        <w:tc>
          <w:tcPr>
            <w:tcW w:w="2370" w:type="dxa"/>
            <w:tcBorders>
              <w:tl2br w:val="nil"/>
              <w:tr2bl w:val="nil"/>
            </w:tcBorders>
            <w:shd w:val="clear" w:color="auto" w:fill="auto"/>
            <w:tcMar>
              <w:top w:w="12" w:type="dxa"/>
              <w:left w:w="12" w:type="dxa"/>
              <w:right w:w="12" w:type="dxa"/>
            </w:tcMar>
            <w:vAlign w:val="center"/>
          </w:tcPr>
          <w:p w14:paraId="4D9E6283">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4E07A883">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bidi="ar"/>
              </w:rPr>
              <w:t xml:space="preserve"> </w:t>
            </w:r>
            <w:r>
              <w:rPr>
                <w:rFonts w:ascii="Times New Roman" w:hAnsi="Times New Roman" w:eastAsia="宋体" w:cs="Times New Roman"/>
                <w:bCs/>
                <w:kern w:val="0"/>
                <w:sz w:val="17"/>
                <w:szCs w:val="17"/>
                <w:lang w:bidi="ar"/>
              </w:rPr>
              <w:t>(II)</w:t>
            </w:r>
          </w:p>
        </w:tc>
        <w:tc>
          <w:tcPr>
            <w:tcW w:w="579" w:type="dxa"/>
            <w:tcBorders>
              <w:tl2br w:val="nil"/>
              <w:tr2bl w:val="nil"/>
            </w:tcBorders>
            <w:shd w:val="clear" w:color="auto" w:fill="auto"/>
            <w:tcMar>
              <w:top w:w="12" w:type="dxa"/>
              <w:left w:w="12" w:type="dxa"/>
              <w:right w:w="12" w:type="dxa"/>
            </w:tcMar>
            <w:vAlign w:val="center"/>
          </w:tcPr>
          <w:p w14:paraId="6A876FEA">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4</w:t>
            </w:r>
          </w:p>
        </w:tc>
        <w:tc>
          <w:tcPr>
            <w:tcW w:w="469" w:type="dxa"/>
            <w:tcBorders>
              <w:tl2br w:val="nil"/>
              <w:tr2bl w:val="nil"/>
            </w:tcBorders>
            <w:shd w:val="clear" w:color="auto" w:fill="auto"/>
            <w:tcMar>
              <w:top w:w="12" w:type="dxa"/>
              <w:left w:w="12" w:type="dxa"/>
              <w:right w:w="12" w:type="dxa"/>
            </w:tcMar>
            <w:vAlign w:val="center"/>
          </w:tcPr>
          <w:p w14:paraId="6F46A295">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540" w:type="dxa"/>
            <w:tcBorders>
              <w:tl2br w:val="nil"/>
              <w:tr2bl w:val="nil"/>
            </w:tcBorders>
            <w:shd w:val="clear" w:color="auto" w:fill="auto"/>
            <w:tcMar>
              <w:top w:w="12" w:type="dxa"/>
              <w:left w:w="12" w:type="dxa"/>
              <w:right w:w="12" w:type="dxa"/>
            </w:tcMar>
            <w:vAlign w:val="center"/>
          </w:tcPr>
          <w:p w14:paraId="373D8D3C">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64</w:t>
            </w:r>
          </w:p>
        </w:tc>
        <w:tc>
          <w:tcPr>
            <w:tcW w:w="570" w:type="dxa"/>
            <w:tcBorders>
              <w:tl2br w:val="nil"/>
              <w:tr2bl w:val="nil"/>
            </w:tcBorders>
            <w:shd w:val="clear" w:color="auto" w:fill="auto"/>
            <w:tcMar>
              <w:top w:w="12" w:type="dxa"/>
              <w:left w:w="12" w:type="dxa"/>
              <w:right w:w="12" w:type="dxa"/>
            </w:tcMar>
            <w:vAlign w:val="center"/>
          </w:tcPr>
          <w:p w14:paraId="115E6526">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2AFEE9BA">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75B59F6D">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34ACA256">
            <w:pPr>
              <w:adjustRightInd w:val="0"/>
              <w:spacing w:line="200" w:lineRule="exact"/>
              <w:jc w:val="center"/>
              <w:rPr>
                <w:rFonts w:ascii="Times New Roman" w:hAnsi="Times New Roman" w:cs="Times New Roman"/>
                <w:bCs/>
                <w:kern w:val="0"/>
                <w:sz w:val="17"/>
                <w:szCs w:val="17"/>
              </w:rPr>
            </w:pPr>
          </w:p>
        </w:tc>
      </w:tr>
      <w:tr w14:paraId="29597A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274B71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3761B8D8">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0744C4C">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3221175001</w:t>
            </w:r>
          </w:p>
        </w:tc>
        <w:tc>
          <w:tcPr>
            <w:tcW w:w="2370" w:type="dxa"/>
            <w:tcBorders>
              <w:tl2br w:val="nil"/>
              <w:tr2bl w:val="nil"/>
            </w:tcBorders>
            <w:shd w:val="clear" w:color="auto" w:fill="auto"/>
            <w:tcMar>
              <w:top w:w="12" w:type="dxa"/>
              <w:left w:w="12" w:type="dxa"/>
              <w:right w:w="12" w:type="dxa"/>
            </w:tcMar>
            <w:vAlign w:val="center"/>
          </w:tcPr>
          <w:p w14:paraId="28BE1FB3">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4738DDE3">
            <w:pPr>
              <w:adjustRightInd w:val="0"/>
              <w:spacing w:line="200" w:lineRule="exact"/>
              <w:jc w:val="left"/>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College Chinese</w:t>
            </w:r>
          </w:p>
        </w:tc>
        <w:tc>
          <w:tcPr>
            <w:tcW w:w="579" w:type="dxa"/>
            <w:tcBorders>
              <w:tl2br w:val="nil"/>
              <w:tr2bl w:val="nil"/>
            </w:tcBorders>
            <w:shd w:val="clear" w:color="auto" w:fill="auto"/>
            <w:tcMar>
              <w:top w:w="12" w:type="dxa"/>
              <w:left w:w="12" w:type="dxa"/>
              <w:right w:w="12" w:type="dxa"/>
            </w:tcMar>
            <w:vAlign w:val="center"/>
          </w:tcPr>
          <w:p w14:paraId="6FB8A115">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2</w:t>
            </w:r>
          </w:p>
        </w:tc>
        <w:tc>
          <w:tcPr>
            <w:tcW w:w="469" w:type="dxa"/>
            <w:tcBorders>
              <w:tl2br w:val="nil"/>
              <w:tr2bl w:val="nil"/>
            </w:tcBorders>
            <w:shd w:val="clear" w:color="auto" w:fill="auto"/>
            <w:tcMar>
              <w:top w:w="12" w:type="dxa"/>
              <w:left w:w="12" w:type="dxa"/>
              <w:right w:w="12" w:type="dxa"/>
            </w:tcMar>
            <w:vAlign w:val="center"/>
          </w:tcPr>
          <w:p w14:paraId="39A54FAE">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32</w:t>
            </w:r>
          </w:p>
        </w:tc>
        <w:tc>
          <w:tcPr>
            <w:tcW w:w="540" w:type="dxa"/>
            <w:tcBorders>
              <w:tl2br w:val="nil"/>
              <w:tr2bl w:val="nil"/>
            </w:tcBorders>
            <w:shd w:val="clear" w:color="auto" w:fill="auto"/>
            <w:tcMar>
              <w:top w:w="12" w:type="dxa"/>
              <w:left w:w="12" w:type="dxa"/>
              <w:right w:w="12" w:type="dxa"/>
            </w:tcMar>
            <w:vAlign w:val="center"/>
          </w:tcPr>
          <w:p w14:paraId="465D064B">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32</w:t>
            </w:r>
          </w:p>
        </w:tc>
        <w:tc>
          <w:tcPr>
            <w:tcW w:w="570" w:type="dxa"/>
            <w:tcBorders>
              <w:tl2br w:val="nil"/>
              <w:tr2bl w:val="nil"/>
            </w:tcBorders>
            <w:shd w:val="clear" w:color="auto" w:fill="auto"/>
            <w:tcMar>
              <w:top w:w="12" w:type="dxa"/>
              <w:left w:w="12" w:type="dxa"/>
              <w:right w:w="12" w:type="dxa"/>
            </w:tcMar>
            <w:vAlign w:val="center"/>
          </w:tcPr>
          <w:p w14:paraId="1515606C">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095275BD">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4C846136">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4BBCD6ED">
            <w:pPr>
              <w:adjustRightInd w:val="0"/>
              <w:spacing w:line="200" w:lineRule="exact"/>
              <w:jc w:val="center"/>
              <w:rPr>
                <w:rFonts w:ascii="Times New Roman" w:hAnsi="Times New Roman" w:cs="Times New Roman"/>
                <w:bCs/>
                <w:kern w:val="0"/>
                <w:sz w:val="17"/>
                <w:szCs w:val="17"/>
              </w:rPr>
            </w:pPr>
          </w:p>
        </w:tc>
      </w:tr>
      <w:tr w14:paraId="538AB7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8C1BF09">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514A3D8">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48F39704">
            <w:pPr>
              <w:adjustRightInd w:val="0"/>
              <w:snapToGrid w:val="0"/>
              <w:jc w:val="center"/>
              <w:rPr>
                <w:rFonts w:ascii="Times New Roman" w:hAnsi="Times New Roman" w:cs="宋体"/>
                <w:bCs/>
                <w:sz w:val="17"/>
                <w:szCs w:val="17"/>
              </w:rPr>
            </w:pPr>
            <w:r>
              <w:rPr>
                <w:rFonts w:hint="eastAsia" w:ascii="Times New Roman" w:hAnsi="Times New Roman" w:cs="宋体"/>
                <w:bCs/>
                <w:sz w:val="17"/>
                <w:szCs w:val="17"/>
              </w:rPr>
              <w:t>3221111002</w:t>
            </w:r>
          </w:p>
        </w:tc>
        <w:tc>
          <w:tcPr>
            <w:tcW w:w="2370" w:type="dxa"/>
            <w:tcBorders>
              <w:tl2br w:val="nil"/>
              <w:tr2bl w:val="nil"/>
            </w:tcBorders>
            <w:shd w:val="clear" w:color="auto" w:fill="auto"/>
            <w:tcMar>
              <w:top w:w="12" w:type="dxa"/>
              <w:left w:w="12" w:type="dxa"/>
              <w:right w:w="12" w:type="dxa"/>
            </w:tcMar>
            <w:vAlign w:val="center"/>
          </w:tcPr>
          <w:p w14:paraId="61F65A7D">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高等数学A(一)</w:t>
            </w:r>
          </w:p>
          <w:p w14:paraId="77BA2211">
            <w:pPr>
              <w:adjustRightInd w:val="0"/>
              <w:spacing w:line="200" w:lineRule="exact"/>
              <w:jc w:val="left"/>
              <w:rPr>
                <w:rFonts w:ascii="宋体" w:hAnsi="宋体" w:eastAsia="宋体" w:cs="宋体"/>
                <w:bCs/>
                <w:color w:val="000000"/>
                <w:sz w:val="17"/>
                <w:szCs w:val="17"/>
                <w:lang w:bidi="ar"/>
              </w:rPr>
            </w:pPr>
            <w:r>
              <w:rPr>
                <w:rFonts w:hint="eastAsia" w:ascii="Times New Roman" w:hAnsi="Times New Roman" w:eastAsia="宋体" w:cs="Times New Roman"/>
                <w:bCs/>
                <w:kern w:val="0"/>
                <w:sz w:val="17"/>
                <w:szCs w:val="17"/>
                <w:lang w:bidi="ar"/>
              </w:rPr>
              <w:t>Advanced Mathematics A (I)</w:t>
            </w:r>
          </w:p>
        </w:tc>
        <w:tc>
          <w:tcPr>
            <w:tcW w:w="579" w:type="dxa"/>
            <w:tcBorders>
              <w:tl2br w:val="nil"/>
              <w:tr2bl w:val="nil"/>
            </w:tcBorders>
            <w:shd w:val="clear" w:color="auto" w:fill="auto"/>
            <w:tcMar>
              <w:top w:w="12" w:type="dxa"/>
              <w:left w:w="12" w:type="dxa"/>
              <w:right w:w="12" w:type="dxa"/>
            </w:tcMar>
            <w:vAlign w:val="center"/>
          </w:tcPr>
          <w:p w14:paraId="6DF71DC0">
            <w:pPr>
              <w:adjustRightInd w:val="0"/>
              <w:snapToGrid w:val="0"/>
              <w:jc w:val="center"/>
              <w:rPr>
                <w:rFonts w:ascii="Times New Roman" w:hAnsi="Times New Roman" w:eastAsia="宋体" w:cs="Times New Roman"/>
                <w:bCs/>
                <w:color w:val="000000"/>
                <w:kern w:val="0"/>
                <w:sz w:val="17"/>
                <w:szCs w:val="17"/>
                <w:lang w:bidi="ar"/>
              </w:rPr>
            </w:pPr>
            <w:r>
              <w:rPr>
                <w:rFonts w:hint="eastAsia" w:ascii="Times New Roman" w:hAnsi="Times New Roman" w:eastAsia="宋体" w:cs="Times New Roman"/>
                <w:bCs/>
                <w:color w:val="000000"/>
                <w:kern w:val="0"/>
                <w:sz w:val="17"/>
                <w:szCs w:val="17"/>
                <w:lang w:bidi="ar"/>
              </w:rPr>
              <w:t>4</w:t>
            </w:r>
          </w:p>
        </w:tc>
        <w:tc>
          <w:tcPr>
            <w:tcW w:w="469" w:type="dxa"/>
            <w:tcBorders>
              <w:tl2br w:val="nil"/>
              <w:tr2bl w:val="nil"/>
            </w:tcBorders>
            <w:shd w:val="clear" w:color="auto" w:fill="auto"/>
            <w:tcMar>
              <w:top w:w="12" w:type="dxa"/>
              <w:left w:w="12" w:type="dxa"/>
              <w:right w:w="12" w:type="dxa"/>
            </w:tcMar>
            <w:vAlign w:val="center"/>
          </w:tcPr>
          <w:p w14:paraId="73B30DD7">
            <w:pPr>
              <w:adjustRightInd w:val="0"/>
              <w:snapToGrid w:val="0"/>
              <w:jc w:val="center"/>
              <w:rPr>
                <w:rFonts w:ascii="Times New Roman" w:hAnsi="Times New Roman" w:eastAsia="宋体" w:cs="Times New Roman"/>
                <w:bCs/>
                <w:color w:val="000000"/>
                <w:kern w:val="0"/>
                <w:sz w:val="17"/>
                <w:szCs w:val="17"/>
                <w:lang w:bidi="ar"/>
              </w:rPr>
            </w:pPr>
            <w:r>
              <w:rPr>
                <w:rFonts w:hint="eastAsia" w:ascii="Times New Roman" w:hAnsi="Times New Roman" w:eastAsia="宋体" w:cs="Times New Roman"/>
                <w:bCs/>
                <w:color w:val="000000"/>
                <w:kern w:val="0"/>
                <w:sz w:val="17"/>
                <w:szCs w:val="17"/>
                <w:lang w:bidi="ar"/>
              </w:rPr>
              <w:t>64</w:t>
            </w:r>
          </w:p>
        </w:tc>
        <w:tc>
          <w:tcPr>
            <w:tcW w:w="540" w:type="dxa"/>
            <w:tcBorders>
              <w:tl2br w:val="nil"/>
              <w:tr2bl w:val="nil"/>
            </w:tcBorders>
            <w:shd w:val="clear" w:color="auto" w:fill="auto"/>
            <w:tcMar>
              <w:top w:w="12" w:type="dxa"/>
              <w:left w:w="12" w:type="dxa"/>
              <w:right w:w="12" w:type="dxa"/>
            </w:tcMar>
            <w:vAlign w:val="center"/>
          </w:tcPr>
          <w:p w14:paraId="41564198">
            <w:pPr>
              <w:adjustRightInd w:val="0"/>
              <w:snapToGrid w:val="0"/>
              <w:jc w:val="center"/>
              <w:rPr>
                <w:rFonts w:ascii="Times New Roman" w:hAnsi="Times New Roman" w:cs="宋体"/>
                <w:bCs/>
                <w:color w:val="000000"/>
                <w:kern w:val="0"/>
                <w:sz w:val="17"/>
                <w:szCs w:val="17"/>
              </w:rPr>
            </w:pPr>
            <w:r>
              <w:rPr>
                <w:rFonts w:hint="eastAsia" w:ascii="Times New Roman" w:hAnsi="Times New Roman" w:cs="宋体"/>
                <w:bCs/>
                <w:color w:val="000000"/>
                <w:kern w:val="0"/>
                <w:sz w:val="17"/>
                <w:szCs w:val="17"/>
              </w:rPr>
              <w:t>64</w:t>
            </w:r>
          </w:p>
        </w:tc>
        <w:tc>
          <w:tcPr>
            <w:tcW w:w="570" w:type="dxa"/>
            <w:tcBorders>
              <w:tl2br w:val="nil"/>
              <w:tr2bl w:val="nil"/>
            </w:tcBorders>
            <w:shd w:val="clear" w:color="auto" w:fill="auto"/>
            <w:tcMar>
              <w:top w:w="12" w:type="dxa"/>
              <w:left w:w="12" w:type="dxa"/>
              <w:right w:w="12" w:type="dxa"/>
            </w:tcMar>
            <w:vAlign w:val="center"/>
          </w:tcPr>
          <w:p w14:paraId="52299608">
            <w:pPr>
              <w:adjustRightInd w:val="0"/>
              <w:snapToGrid w:val="0"/>
              <w:jc w:val="center"/>
              <w:rPr>
                <w:rFonts w:ascii="Times New Roman" w:hAnsi="Times New Roman" w:cs="宋体"/>
                <w:bCs/>
                <w:kern w:val="0"/>
                <w:sz w:val="17"/>
                <w:szCs w:val="17"/>
              </w:rPr>
            </w:pPr>
            <w:r>
              <w:rPr>
                <w:rFonts w:hint="eastAsia" w:ascii="Times New Roman" w:hAnsi="Times New Roman" w:cs="宋体"/>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6AD4B52E">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71B00034">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15F456A2">
            <w:pPr>
              <w:adjustRightInd w:val="0"/>
              <w:spacing w:line="200" w:lineRule="exact"/>
              <w:jc w:val="center"/>
              <w:rPr>
                <w:rFonts w:ascii="Times New Roman" w:hAnsi="Times New Roman" w:cs="Times New Roman"/>
                <w:bCs/>
                <w:kern w:val="0"/>
                <w:sz w:val="17"/>
                <w:szCs w:val="17"/>
              </w:rPr>
            </w:pPr>
          </w:p>
        </w:tc>
      </w:tr>
      <w:tr w14:paraId="36D51B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D9E2E9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135C0C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3EAB5DD">
            <w:pPr>
              <w:adjustRightInd w:val="0"/>
              <w:snapToGrid w:val="0"/>
              <w:jc w:val="center"/>
              <w:rPr>
                <w:rFonts w:ascii="Times New Roman" w:hAnsi="Times New Roman" w:cs="宋体"/>
                <w:bCs/>
                <w:sz w:val="17"/>
                <w:szCs w:val="17"/>
              </w:rPr>
            </w:pPr>
            <w:r>
              <w:rPr>
                <w:rFonts w:hint="eastAsia" w:ascii="Times New Roman" w:hAnsi="Times New Roman" w:cs="宋体"/>
                <w:bCs/>
                <w:sz w:val="17"/>
                <w:szCs w:val="17"/>
              </w:rPr>
              <w:t>3221111003</w:t>
            </w:r>
          </w:p>
        </w:tc>
        <w:tc>
          <w:tcPr>
            <w:tcW w:w="2370" w:type="dxa"/>
            <w:tcBorders>
              <w:tl2br w:val="nil"/>
              <w:tr2bl w:val="nil"/>
            </w:tcBorders>
            <w:shd w:val="clear" w:color="auto" w:fill="auto"/>
            <w:tcMar>
              <w:top w:w="12" w:type="dxa"/>
              <w:left w:w="12" w:type="dxa"/>
              <w:right w:w="12" w:type="dxa"/>
            </w:tcMar>
            <w:vAlign w:val="center"/>
          </w:tcPr>
          <w:p w14:paraId="14C28FCC">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高等数学A(二)</w:t>
            </w:r>
          </w:p>
          <w:p w14:paraId="6433D847">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Advanced Mathematics A (II)</w:t>
            </w:r>
          </w:p>
        </w:tc>
        <w:tc>
          <w:tcPr>
            <w:tcW w:w="579" w:type="dxa"/>
            <w:tcBorders>
              <w:tl2br w:val="nil"/>
              <w:tr2bl w:val="nil"/>
            </w:tcBorders>
            <w:shd w:val="clear" w:color="auto" w:fill="auto"/>
            <w:tcMar>
              <w:top w:w="12" w:type="dxa"/>
              <w:left w:w="12" w:type="dxa"/>
              <w:right w:w="12" w:type="dxa"/>
            </w:tcMar>
            <w:vAlign w:val="center"/>
          </w:tcPr>
          <w:p w14:paraId="78086EC3">
            <w:pPr>
              <w:adjustRightInd w:val="0"/>
              <w:snapToGrid w:val="0"/>
              <w:jc w:val="center"/>
              <w:rPr>
                <w:rFonts w:ascii="Times New Roman" w:hAnsi="Times New Roman" w:eastAsia="宋体" w:cs="Times New Roman"/>
                <w:bCs/>
                <w:color w:val="000000"/>
                <w:kern w:val="0"/>
                <w:sz w:val="17"/>
                <w:szCs w:val="17"/>
                <w:lang w:bidi="ar"/>
              </w:rPr>
            </w:pPr>
            <w:r>
              <w:rPr>
                <w:rFonts w:hint="eastAsia" w:ascii="Times New Roman" w:hAnsi="Times New Roman" w:eastAsia="宋体" w:cs="Times New Roman"/>
                <w:bCs/>
                <w:color w:val="000000"/>
                <w:kern w:val="0"/>
                <w:sz w:val="17"/>
                <w:szCs w:val="17"/>
                <w:lang w:bidi="ar"/>
              </w:rPr>
              <w:t>2</w:t>
            </w:r>
          </w:p>
        </w:tc>
        <w:tc>
          <w:tcPr>
            <w:tcW w:w="469" w:type="dxa"/>
            <w:tcBorders>
              <w:tl2br w:val="nil"/>
              <w:tr2bl w:val="nil"/>
            </w:tcBorders>
            <w:shd w:val="clear" w:color="auto" w:fill="auto"/>
            <w:tcMar>
              <w:top w:w="12" w:type="dxa"/>
              <w:left w:w="12" w:type="dxa"/>
              <w:right w:w="12" w:type="dxa"/>
            </w:tcMar>
            <w:vAlign w:val="center"/>
          </w:tcPr>
          <w:p w14:paraId="4C4A89E7">
            <w:pPr>
              <w:adjustRightInd w:val="0"/>
              <w:snapToGrid w:val="0"/>
              <w:jc w:val="center"/>
              <w:rPr>
                <w:rFonts w:ascii="Times New Roman" w:hAnsi="Times New Roman" w:eastAsia="宋体" w:cs="Times New Roman"/>
                <w:bCs/>
                <w:color w:val="000000"/>
                <w:kern w:val="0"/>
                <w:sz w:val="17"/>
                <w:szCs w:val="17"/>
                <w:lang w:bidi="ar"/>
              </w:rPr>
            </w:pPr>
            <w:r>
              <w:rPr>
                <w:rFonts w:hint="eastAsia" w:ascii="Times New Roman" w:hAnsi="Times New Roman" w:eastAsia="宋体" w:cs="Times New Roman"/>
                <w:bCs/>
                <w:color w:val="000000"/>
                <w:kern w:val="0"/>
                <w:sz w:val="17"/>
                <w:szCs w:val="17"/>
                <w:lang w:bidi="ar"/>
              </w:rPr>
              <w:t>32</w:t>
            </w:r>
          </w:p>
        </w:tc>
        <w:tc>
          <w:tcPr>
            <w:tcW w:w="540" w:type="dxa"/>
            <w:tcBorders>
              <w:tl2br w:val="nil"/>
              <w:tr2bl w:val="nil"/>
            </w:tcBorders>
            <w:shd w:val="clear" w:color="auto" w:fill="auto"/>
            <w:tcMar>
              <w:top w:w="12" w:type="dxa"/>
              <w:left w:w="12" w:type="dxa"/>
              <w:right w:w="12" w:type="dxa"/>
            </w:tcMar>
            <w:vAlign w:val="center"/>
          </w:tcPr>
          <w:p w14:paraId="045721F5">
            <w:pPr>
              <w:adjustRightInd w:val="0"/>
              <w:snapToGrid w:val="0"/>
              <w:jc w:val="center"/>
              <w:rPr>
                <w:rFonts w:ascii="Times New Roman" w:hAnsi="Times New Roman" w:cs="宋体"/>
                <w:bCs/>
                <w:color w:val="000000"/>
                <w:kern w:val="0"/>
                <w:sz w:val="17"/>
                <w:szCs w:val="17"/>
              </w:rPr>
            </w:pPr>
            <w:r>
              <w:rPr>
                <w:rFonts w:hint="eastAsia" w:ascii="Times New Roman" w:hAnsi="Times New Roman" w:cs="宋体"/>
                <w:bCs/>
                <w:color w:val="000000"/>
                <w:kern w:val="0"/>
                <w:sz w:val="17"/>
                <w:szCs w:val="17"/>
              </w:rPr>
              <w:t>32</w:t>
            </w:r>
          </w:p>
        </w:tc>
        <w:tc>
          <w:tcPr>
            <w:tcW w:w="570" w:type="dxa"/>
            <w:tcBorders>
              <w:tl2br w:val="nil"/>
              <w:tr2bl w:val="nil"/>
            </w:tcBorders>
            <w:shd w:val="clear" w:color="auto" w:fill="auto"/>
            <w:tcMar>
              <w:top w:w="12" w:type="dxa"/>
              <w:left w:w="12" w:type="dxa"/>
              <w:right w:w="12" w:type="dxa"/>
            </w:tcMar>
            <w:vAlign w:val="center"/>
          </w:tcPr>
          <w:p w14:paraId="6C491EBE">
            <w:pPr>
              <w:adjustRightInd w:val="0"/>
              <w:snapToGrid w:val="0"/>
              <w:jc w:val="center"/>
              <w:rPr>
                <w:rFonts w:ascii="Times New Roman" w:hAnsi="Times New Roman" w:cs="宋体"/>
                <w:bCs/>
                <w:kern w:val="0"/>
                <w:sz w:val="17"/>
                <w:szCs w:val="17"/>
              </w:rPr>
            </w:pPr>
            <w:r>
              <w:rPr>
                <w:rFonts w:hint="eastAsia" w:ascii="Times New Roman" w:hAnsi="Times New Roman" w:cs="宋体"/>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10BC14E4">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192A4618">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5804F293">
            <w:pPr>
              <w:adjustRightInd w:val="0"/>
              <w:spacing w:line="200" w:lineRule="exact"/>
              <w:jc w:val="center"/>
              <w:rPr>
                <w:rFonts w:ascii="Times New Roman" w:hAnsi="Times New Roman" w:cs="Times New Roman"/>
                <w:bCs/>
                <w:kern w:val="0"/>
                <w:sz w:val="17"/>
                <w:szCs w:val="17"/>
              </w:rPr>
            </w:pPr>
          </w:p>
        </w:tc>
      </w:tr>
      <w:tr w14:paraId="0007B5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CCF4388">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626FCE0">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1F2C59D">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3421289001</w:t>
            </w:r>
          </w:p>
        </w:tc>
        <w:tc>
          <w:tcPr>
            <w:tcW w:w="2370" w:type="dxa"/>
            <w:tcBorders>
              <w:tl2br w:val="nil"/>
              <w:tr2bl w:val="nil"/>
            </w:tcBorders>
            <w:shd w:val="clear" w:color="auto" w:fill="auto"/>
            <w:tcMar>
              <w:top w:w="12" w:type="dxa"/>
              <w:left w:w="12" w:type="dxa"/>
              <w:right w:w="12" w:type="dxa"/>
            </w:tcMar>
            <w:vAlign w:val="center"/>
          </w:tcPr>
          <w:p w14:paraId="277A7FCE">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大学体育（一）</w:t>
            </w:r>
          </w:p>
          <w:p w14:paraId="333EB67D">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bidi="ar"/>
              </w:rPr>
              <w:t xml:space="preserve"> (I)</w:t>
            </w:r>
          </w:p>
        </w:tc>
        <w:tc>
          <w:tcPr>
            <w:tcW w:w="579" w:type="dxa"/>
            <w:tcBorders>
              <w:tl2br w:val="nil"/>
              <w:tr2bl w:val="nil"/>
            </w:tcBorders>
            <w:shd w:val="clear" w:color="auto" w:fill="auto"/>
            <w:tcMar>
              <w:top w:w="12" w:type="dxa"/>
              <w:left w:w="12" w:type="dxa"/>
              <w:right w:w="12" w:type="dxa"/>
            </w:tcMar>
            <w:vAlign w:val="center"/>
          </w:tcPr>
          <w:p w14:paraId="678AAC6A">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47CC14E5">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71A52331">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7EA32635">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558" w:type="dxa"/>
            <w:tcBorders>
              <w:tl2br w:val="nil"/>
              <w:tr2bl w:val="nil"/>
            </w:tcBorders>
            <w:shd w:val="clear" w:color="auto" w:fill="auto"/>
            <w:tcMar>
              <w:top w:w="12" w:type="dxa"/>
              <w:left w:w="12" w:type="dxa"/>
              <w:right w:w="12" w:type="dxa"/>
            </w:tcMar>
            <w:vAlign w:val="center"/>
          </w:tcPr>
          <w:p w14:paraId="3CBBDFB5">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4F735CF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094B3781">
            <w:pPr>
              <w:adjustRightInd w:val="0"/>
              <w:spacing w:line="200" w:lineRule="exact"/>
              <w:jc w:val="center"/>
              <w:rPr>
                <w:rFonts w:ascii="Times New Roman" w:hAnsi="Times New Roman" w:cs="Times New Roman"/>
                <w:bCs/>
                <w:kern w:val="0"/>
                <w:sz w:val="17"/>
                <w:szCs w:val="17"/>
              </w:rPr>
            </w:pPr>
          </w:p>
        </w:tc>
      </w:tr>
      <w:tr w14:paraId="3E4160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D40F51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39430CF">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FDDC4EA">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3421289002</w:t>
            </w:r>
          </w:p>
        </w:tc>
        <w:tc>
          <w:tcPr>
            <w:tcW w:w="2370" w:type="dxa"/>
            <w:tcBorders>
              <w:tl2br w:val="nil"/>
              <w:tr2bl w:val="nil"/>
            </w:tcBorders>
            <w:shd w:val="clear" w:color="auto" w:fill="auto"/>
            <w:tcMar>
              <w:top w:w="12" w:type="dxa"/>
              <w:left w:w="12" w:type="dxa"/>
              <w:right w:w="12" w:type="dxa"/>
            </w:tcMar>
            <w:vAlign w:val="center"/>
          </w:tcPr>
          <w:p w14:paraId="074F739D">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大学体育（二）</w:t>
            </w:r>
          </w:p>
          <w:p w14:paraId="3B506A42">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bidi="ar"/>
              </w:rPr>
              <w:t xml:space="preserve"> (II)</w:t>
            </w:r>
          </w:p>
        </w:tc>
        <w:tc>
          <w:tcPr>
            <w:tcW w:w="579" w:type="dxa"/>
            <w:tcBorders>
              <w:tl2br w:val="nil"/>
              <w:tr2bl w:val="nil"/>
            </w:tcBorders>
            <w:shd w:val="clear" w:color="auto" w:fill="auto"/>
            <w:tcMar>
              <w:top w:w="12" w:type="dxa"/>
              <w:left w:w="12" w:type="dxa"/>
              <w:right w:w="12" w:type="dxa"/>
            </w:tcMar>
            <w:vAlign w:val="center"/>
          </w:tcPr>
          <w:p w14:paraId="7A17CF78">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3C13D7F8">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0097EEFA">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3C9BC4C1">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558" w:type="dxa"/>
            <w:tcBorders>
              <w:tl2br w:val="nil"/>
              <w:tr2bl w:val="nil"/>
            </w:tcBorders>
            <w:shd w:val="clear" w:color="auto" w:fill="auto"/>
            <w:tcMar>
              <w:top w:w="12" w:type="dxa"/>
              <w:left w:w="12" w:type="dxa"/>
              <w:right w:w="12" w:type="dxa"/>
            </w:tcMar>
            <w:vAlign w:val="center"/>
          </w:tcPr>
          <w:p w14:paraId="617A2C01">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2EB7DB8E">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249FFAEB">
            <w:pPr>
              <w:adjustRightInd w:val="0"/>
              <w:spacing w:line="200" w:lineRule="exact"/>
              <w:jc w:val="center"/>
              <w:rPr>
                <w:rFonts w:ascii="Times New Roman" w:hAnsi="Times New Roman" w:cs="Times New Roman"/>
                <w:bCs/>
                <w:kern w:val="0"/>
                <w:sz w:val="17"/>
                <w:szCs w:val="17"/>
              </w:rPr>
            </w:pPr>
          </w:p>
        </w:tc>
      </w:tr>
      <w:tr w14:paraId="55D938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D87D1D7">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185B09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640D5D13">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3421289003</w:t>
            </w:r>
          </w:p>
        </w:tc>
        <w:tc>
          <w:tcPr>
            <w:tcW w:w="2370" w:type="dxa"/>
            <w:tcBorders>
              <w:tl2br w:val="nil"/>
              <w:tr2bl w:val="nil"/>
            </w:tcBorders>
            <w:shd w:val="clear" w:color="auto" w:fill="auto"/>
            <w:tcMar>
              <w:top w:w="12" w:type="dxa"/>
              <w:left w:w="12" w:type="dxa"/>
              <w:right w:w="12" w:type="dxa"/>
            </w:tcMar>
            <w:vAlign w:val="center"/>
          </w:tcPr>
          <w:p w14:paraId="56C92730">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大学体育（三）</w:t>
            </w:r>
          </w:p>
          <w:p w14:paraId="0E6647BC">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Sports（III）</w:t>
            </w:r>
          </w:p>
        </w:tc>
        <w:tc>
          <w:tcPr>
            <w:tcW w:w="579" w:type="dxa"/>
            <w:tcBorders>
              <w:tl2br w:val="nil"/>
              <w:tr2bl w:val="nil"/>
            </w:tcBorders>
            <w:shd w:val="clear" w:color="auto" w:fill="auto"/>
            <w:tcMar>
              <w:top w:w="12" w:type="dxa"/>
              <w:left w:w="12" w:type="dxa"/>
              <w:right w:w="12" w:type="dxa"/>
            </w:tcMar>
            <w:vAlign w:val="center"/>
          </w:tcPr>
          <w:p w14:paraId="2ED9EBEE">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2762CF9B">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61EA4FCC">
            <w:pPr>
              <w:adjustRightInd w:val="0"/>
              <w:snapToGrid w:val="0"/>
              <w:jc w:val="center"/>
              <w:rPr>
                <w:rFonts w:ascii="Times New Roman" w:hAnsi="Times New Roman" w:cs="Times New Roman"/>
                <w:bCs/>
                <w:kern w:val="0"/>
                <w:sz w:val="17"/>
                <w:szCs w:val="17"/>
              </w:rPr>
            </w:pPr>
            <w:r>
              <w:rPr>
                <w:rFonts w:ascii="Times New Roman" w:hAnsi="Times New Roman" w:cs="宋体"/>
                <w:bCs/>
                <w:color w:val="000000"/>
                <w:kern w:val="0"/>
                <w:sz w:val="17"/>
                <w:szCs w:val="17"/>
              </w:rPr>
              <w:t>4</w:t>
            </w:r>
          </w:p>
        </w:tc>
        <w:tc>
          <w:tcPr>
            <w:tcW w:w="570" w:type="dxa"/>
            <w:tcBorders>
              <w:tl2br w:val="nil"/>
              <w:tr2bl w:val="nil"/>
            </w:tcBorders>
            <w:shd w:val="clear" w:color="auto" w:fill="auto"/>
            <w:tcMar>
              <w:top w:w="12" w:type="dxa"/>
              <w:left w:w="12" w:type="dxa"/>
              <w:right w:w="12" w:type="dxa"/>
            </w:tcMar>
            <w:vAlign w:val="center"/>
          </w:tcPr>
          <w:p w14:paraId="0521EB79">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558" w:type="dxa"/>
            <w:tcBorders>
              <w:tl2br w:val="nil"/>
              <w:tr2bl w:val="nil"/>
            </w:tcBorders>
            <w:shd w:val="clear" w:color="auto" w:fill="auto"/>
            <w:tcMar>
              <w:top w:w="12" w:type="dxa"/>
              <w:left w:w="12" w:type="dxa"/>
              <w:right w:w="12" w:type="dxa"/>
            </w:tcMar>
            <w:vAlign w:val="center"/>
          </w:tcPr>
          <w:p w14:paraId="405ABCE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1E350FBB">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3</w:t>
            </w:r>
          </w:p>
        </w:tc>
        <w:tc>
          <w:tcPr>
            <w:tcW w:w="1541" w:type="dxa"/>
            <w:tcBorders>
              <w:tl2br w:val="nil"/>
              <w:tr2bl w:val="nil"/>
            </w:tcBorders>
            <w:shd w:val="clear" w:color="auto" w:fill="auto"/>
            <w:tcMar>
              <w:top w:w="12" w:type="dxa"/>
              <w:left w:w="12" w:type="dxa"/>
              <w:right w:w="12" w:type="dxa"/>
            </w:tcMar>
            <w:vAlign w:val="center"/>
          </w:tcPr>
          <w:p w14:paraId="20429AC8">
            <w:pPr>
              <w:adjustRightInd w:val="0"/>
              <w:spacing w:line="200" w:lineRule="exact"/>
              <w:jc w:val="center"/>
              <w:rPr>
                <w:rFonts w:ascii="Times New Roman" w:hAnsi="Times New Roman" w:cs="Times New Roman"/>
                <w:bCs/>
                <w:kern w:val="0"/>
                <w:sz w:val="17"/>
                <w:szCs w:val="17"/>
              </w:rPr>
            </w:pPr>
          </w:p>
        </w:tc>
      </w:tr>
      <w:tr w14:paraId="7DCFF9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D73A5B2">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480BC74">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44542746">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3421289004</w:t>
            </w:r>
          </w:p>
        </w:tc>
        <w:tc>
          <w:tcPr>
            <w:tcW w:w="2370" w:type="dxa"/>
            <w:tcBorders>
              <w:tl2br w:val="nil"/>
              <w:tr2bl w:val="nil"/>
            </w:tcBorders>
            <w:shd w:val="clear" w:color="auto" w:fill="auto"/>
            <w:tcMar>
              <w:top w:w="12" w:type="dxa"/>
              <w:left w:w="12" w:type="dxa"/>
              <w:right w:w="12" w:type="dxa"/>
            </w:tcMar>
            <w:vAlign w:val="center"/>
          </w:tcPr>
          <w:p w14:paraId="4E38B175">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大学体育（四）</w:t>
            </w:r>
          </w:p>
          <w:p w14:paraId="4993B624">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University Sports（IV）</w:t>
            </w:r>
          </w:p>
        </w:tc>
        <w:tc>
          <w:tcPr>
            <w:tcW w:w="579" w:type="dxa"/>
            <w:tcBorders>
              <w:tl2br w:val="nil"/>
              <w:tr2bl w:val="nil"/>
            </w:tcBorders>
            <w:shd w:val="clear" w:color="auto" w:fill="auto"/>
            <w:tcMar>
              <w:top w:w="12" w:type="dxa"/>
              <w:left w:w="12" w:type="dxa"/>
              <w:right w:w="12" w:type="dxa"/>
            </w:tcMar>
            <w:vAlign w:val="center"/>
          </w:tcPr>
          <w:p w14:paraId="45281F9D">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0C5C7525">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36</w:t>
            </w:r>
          </w:p>
        </w:tc>
        <w:tc>
          <w:tcPr>
            <w:tcW w:w="540" w:type="dxa"/>
            <w:tcBorders>
              <w:tl2br w:val="nil"/>
              <w:tr2bl w:val="nil"/>
            </w:tcBorders>
            <w:shd w:val="clear" w:color="auto" w:fill="auto"/>
            <w:tcMar>
              <w:top w:w="12" w:type="dxa"/>
              <w:left w:w="12" w:type="dxa"/>
              <w:right w:w="12" w:type="dxa"/>
            </w:tcMar>
            <w:vAlign w:val="center"/>
          </w:tcPr>
          <w:p w14:paraId="4B9336AD">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4</w:t>
            </w:r>
          </w:p>
        </w:tc>
        <w:tc>
          <w:tcPr>
            <w:tcW w:w="570" w:type="dxa"/>
            <w:tcBorders>
              <w:tl2br w:val="nil"/>
              <w:tr2bl w:val="nil"/>
            </w:tcBorders>
            <w:shd w:val="clear" w:color="auto" w:fill="auto"/>
            <w:tcMar>
              <w:top w:w="12" w:type="dxa"/>
              <w:left w:w="12" w:type="dxa"/>
              <w:right w:w="12" w:type="dxa"/>
            </w:tcMar>
            <w:vAlign w:val="center"/>
          </w:tcPr>
          <w:p w14:paraId="199D5A58">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32</w:t>
            </w:r>
          </w:p>
        </w:tc>
        <w:tc>
          <w:tcPr>
            <w:tcW w:w="558" w:type="dxa"/>
            <w:tcBorders>
              <w:tl2br w:val="nil"/>
              <w:tr2bl w:val="nil"/>
            </w:tcBorders>
            <w:shd w:val="clear" w:color="auto" w:fill="auto"/>
            <w:tcMar>
              <w:top w:w="12" w:type="dxa"/>
              <w:left w:w="12" w:type="dxa"/>
              <w:right w:w="12" w:type="dxa"/>
            </w:tcMar>
            <w:vAlign w:val="center"/>
          </w:tcPr>
          <w:p w14:paraId="108788F9">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考试</w:t>
            </w:r>
          </w:p>
        </w:tc>
        <w:tc>
          <w:tcPr>
            <w:tcW w:w="619" w:type="dxa"/>
            <w:tcBorders>
              <w:tl2br w:val="nil"/>
              <w:tr2bl w:val="nil"/>
            </w:tcBorders>
            <w:shd w:val="clear" w:color="auto" w:fill="auto"/>
            <w:tcMar>
              <w:top w:w="12" w:type="dxa"/>
              <w:left w:w="12" w:type="dxa"/>
              <w:right w:w="12" w:type="dxa"/>
            </w:tcMar>
            <w:vAlign w:val="center"/>
          </w:tcPr>
          <w:p w14:paraId="37934DF2">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4</w:t>
            </w:r>
          </w:p>
        </w:tc>
        <w:tc>
          <w:tcPr>
            <w:tcW w:w="1541" w:type="dxa"/>
            <w:tcBorders>
              <w:tl2br w:val="nil"/>
              <w:tr2bl w:val="nil"/>
            </w:tcBorders>
            <w:shd w:val="clear" w:color="auto" w:fill="auto"/>
            <w:tcMar>
              <w:top w:w="12" w:type="dxa"/>
              <w:left w:w="12" w:type="dxa"/>
              <w:right w:w="12" w:type="dxa"/>
            </w:tcMar>
            <w:vAlign w:val="center"/>
          </w:tcPr>
          <w:p w14:paraId="5F602188">
            <w:pPr>
              <w:adjustRightInd w:val="0"/>
              <w:spacing w:line="200" w:lineRule="exact"/>
              <w:jc w:val="center"/>
              <w:rPr>
                <w:rFonts w:ascii="Times New Roman" w:hAnsi="Times New Roman" w:cs="Times New Roman"/>
                <w:bCs/>
                <w:kern w:val="0"/>
                <w:sz w:val="17"/>
                <w:szCs w:val="17"/>
              </w:rPr>
            </w:pPr>
          </w:p>
        </w:tc>
      </w:tr>
      <w:tr w14:paraId="42AF04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608269C">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E8F579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46C56B59">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2021252002</w:t>
            </w:r>
          </w:p>
        </w:tc>
        <w:tc>
          <w:tcPr>
            <w:tcW w:w="2370" w:type="dxa"/>
            <w:tcBorders>
              <w:tl2br w:val="nil"/>
              <w:tr2bl w:val="nil"/>
            </w:tcBorders>
            <w:shd w:val="clear" w:color="auto" w:fill="auto"/>
            <w:tcMar>
              <w:top w:w="12" w:type="dxa"/>
              <w:left w:w="12" w:type="dxa"/>
              <w:right w:w="12" w:type="dxa"/>
            </w:tcMar>
            <w:vAlign w:val="center"/>
          </w:tcPr>
          <w:p w14:paraId="51725E56">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7829227E">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Fundamentals of Information Technology and Artificial Intelligence</w:t>
            </w:r>
          </w:p>
        </w:tc>
        <w:tc>
          <w:tcPr>
            <w:tcW w:w="579" w:type="dxa"/>
            <w:tcBorders>
              <w:tl2br w:val="nil"/>
              <w:tr2bl w:val="nil"/>
            </w:tcBorders>
            <w:shd w:val="clear" w:color="auto" w:fill="auto"/>
            <w:tcMar>
              <w:top w:w="12" w:type="dxa"/>
              <w:left w:w="12" w:type="dxa"/>
              <w:right w:w="12" w:type="dxa"/>
            </w:tcMar>
            <w:vAlign w:val="center"/>
          </w:tcPr>
          <w:p w14:paraId="790F4C58">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1.5</w:t>
            </w:r>
          </w:p>
        </w:tc>
        <w:tc>
          <w:tcPr>
            <w:tcW w:w="469" w:type="dxa"/>
            <w:tcBorders>
              <w:tl2br w:val="nil"/>
              <w:tr2bl w:val="nil"/>
            </w:tcBorders>
            <w:shd w:val="clear" w:color="auto" w:fill="auto"/>
            <w:tcMar>
              <w:top w:w="12" w:type="dxa"/>
              <w:left w:w="12" w:type="dxa"/>
              <w:right w:w="12" w:type="dxa"/>
            </w:tcMar>
            <w:vAlign w:val="center"/>
          </w:tcPr>
          <w:p w14:paraId="3498E1CB">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24</w:t>
            </w:r>
          </w:p>
        </w:tc>
        <w:tc>
          <w:tcPr>
            <w:tcW w:w="540" w:type="dxa"/>
            <w:tcBorders>
              <w:tl2br w:val="nil"/>
              <w:tr2bl w:val="nil"/>
            </w:tcBorders>
            <w:shd w:val="clear" w:color="auto" w:fill="auto"/>
            <w:tcMar>
              <w:top w:w="12" w:type="dxa"/>
              <w:left w:w="12" w:type="dxa"/>
              <w:right w:w="12" w:type="dxa"/>
            </w:tcMar>
            <w:vAlign w:val="center"/>
          </w:tcPr>
          <w:p w14:paraId="0C204F1E">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14</w:t>
            </w:r>
          </w:p>
        </w:tc>
        <w:tc>
          <w:tcPr>
            <w:tcW w:w="570" w:type="dxa"/>
            <w:tcBorders>
              <w:tl2br w:val="nil"/>
              <w:tr2bl w:val="nil"/>
            </w:tcBorders>
            <w:shd w:val="clear" w:color="auto" w:fill="auto"/>
            <w:tcMar>
              <w:top w:w="12" w:type="dxa"/>
              <w:left w:w="12" w:type="dxa"/>
              <w:right w:w="12" w:type="dxa"/>
            </w:tcMar>
            <w:vAlign w:val="center"/>
          </w:tcPr>
          <w:p w14:paraId="72F39833">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10</w:t>
            </w:r>
          </w:p>
        </w:tc>
        <w:tc>
          <w:tcPr>
            <w:tcW w:w="558" w:type="dxa"/>
            <w:tcBorders>
              <w:tl2br w:val="nil"/>
              <w:tr2bl w:val="nil"/>
            </w:tcBorders>
            <w:shd w:val="clear" w:color="auto" w:fill="auto"/>
            <w:tcMar>
              <w:top w:w="12" w:type="dxa"/>
              <w:left w:w="12" w:type="dxa"/>
              <w:right w:w="12" w:type="dxa"/>
            </w:tcMar>
            <w:vAlign w:val="center"/>
          </w:tcPr>
          <w:p w14:paraId="59272C52">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2EBC564A">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736F69BF">
            <w:pPr>
              <w:adjustRightInd w:val="0"/>
              <w:spacing w:line="200" w:lineRule="exact"/>
              <w:jc w:val="center"/>
              <w:rPr>
                <w:rFonts w:ascii="Times New Roman" w:hAnsi="Times New Roman" w:cs="Times New Roman"/>
                <w:bCs/>
                <w:kern w:val="0"/>
                <w:sz w:val="17"/>
                <w:szCs w:val="17"/>
              </w:rPr>
            </w:pPr>
          </w:p>
        </w:tc>
      </w:tr>
      <w:tr w14:paraId="38CEBB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F675B1D">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83891D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6A863A3E">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3</w:t>
            </w:r>
          </w:p>
        </w:tc>
        <w:tc>
          <w:tcPr>
            <w:tcW w:w="2370" w:type="dxa"/>
            <w:tcBorders>
              <w:tl2br w:val="nil"/>
              <w:tr2bl w:val="nil"/>
            </w:tcBorders>
            <w:shd w:val="clear" w:color="auto" w:fill="auto"/>
            <w:tcMar>
              <w:top w:w="12" w:type="dxa"/>
              <w:left w:w="12" w:type="dxa"/>
              <w:right w:w="12" w:type="dxa"/>
            </w:tcMar>
            <w:vAlign w:val="center"/>
          </w:tcPr>
          <w:p w14:paraId="779131F5">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大学生职业</w:t>
            </w:r>
            <w:r>
              <w:rPr>
                <w:rFonts w:hint="eastAsia" w:ascii="Times New Roman" w:hAnsi="Times New Roman" w:eastAsia="宋体" w:cs="Times New Roman"/>
                <w:bCs/>
                <w:kern w:val="0"/>
                <w:sz w:val="17"/>
                <w:szCs w:val="17"/>
                <w:lang w:bidi="ar"/>
              </w:rPr>
              <w:t>生涯规划</w:t>
            </w:r>
          </w:p>
          <w:p w14:paraId="5CDF41CC">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 xml:space="preserve">Career Planning for College Students </w:t>
            </w:r>
          </w:p>
        </w:tc>
        <w:tc>
          <w:tcPr>
            <w:tcW w:w="579" w:type="dxa"/>
            <w:tcBorders>
              <w:tl2br w:val="nil"/>
              <w:tr2bl w:val="nil"/>
            </w:tcBorders>
            <w:shd w:val="clear" w:color="auto" w:fill="auto"/>
            <w:tcMar>
              <w:top w:w="12" w:type="dxa"/>
              <w:left w:w="12" w:type="dxa"/>
              <w:right w:w="12" w:type="dxa"/>
            </w:tcMar>
            <w:vAlign w:val="center"/>
          </w:tcPr>
          <w:p w14:paraId="2BD6E830">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3E068855">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18</w:t>
            </w:r>
          </w:p>
        </w:tc>
        <w:tc>
          <w:tcPr>
            <w:tcW w:w="540" w:type="dxa"/>
            <w:tcBorders>
              <w:tl2br w:val="nil"/>
              <w:tr2bl w:val="nil"/>
            </w:tcBorders>
            <w:shd w:val="clear" w:color="auto" w:fill="auto"/>
            <w:tcMar>
              <w:top w:w="12" w:type="dxa"/>
              <w:left w:w="12" w:type="dxa"/>
              <w:right w:w="12" w:type="dxa"/>
            </w:tcMar>
            <w:vAlign w:val="center"/>
          </w:tcPr>
          <w:p w14:paraId="7B03B766">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r>
              <w:rPr>
                <w:rFonts w:ascii="Times New Roman" w:hAnsi="Times New Roman" w:eastAsia="宋体" w:cs="Times New Roman"/>
                <w:bCs/>
                <w:kern w:val="0"/>
                <w:sz w:val="17"/>
                <w:szCs w:val="17"/>
                <w:lang w:bidi="ar"/>
              </w:rPr>
              <w:t>0</w:t>
            </w:r>
          </w:p>
        </w:tc>
        <w:tc>
          <w:tcPr>
            <w:tcW w:w="570" w:type="dxa"/>
            <w:tcBorders>
              <w:tl2br w:val="nil"/>
              <w:tr2bl w:val="nil"/>
            </w:tcBorders>
            <w:shd w:val="clear" w:color="auto" w:fill="auto"/>
            <w:noWrap/>
            <w:tcMar>
              <w:top w:w="12" w:type="dxa"/>
              <w:left w:w="12" w:type="dxa"/>
              <w:right w:w="12" w:type="dxa"/>
            </w:tcMar>
            <w:vAlign w:val="center"/>
          </w:tcPr>
          <w:p w14:paraId="5915B728">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8</w:t>
            </w:r>
          </w:p>
        </w:tc>
        <w:tc>
          <w:tcPr>
            <w:tcW w:w="558" w:type="dxa"/>
            <w:tcBorders>
              <w:tl2br w:val="nil"/>
              <w:tr2bl w:val="nil"/>
            </w:tcBorders>
            <w:shd w:val="clear" w:color="auto" w:fill="auto"/>
            <w:tcMar>
              <w:top w:w="12" w:type="dxa"/>
              <w:left w:w="12" w:type="dxa"/>
              <w:right w:w="12" w:type="dxa"/>
            </w:tcMar>
            <w:vAlign w:val="center"/>
          </w:tcPr>
          <w:p w14:paraId="1A6829B5">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199CBD0D">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3FF04ED0">
            <w:pPr>
              <w:adjustRightInd w:val="0"/>
              <w:spacing w:line="200" w:lineRule="exact"/>
              <w:jc w:val="center"/>
              <w:rPr>
                <w:rFonts w:ascii="Times New Roman" w:hAnsi="Times New Roman" w:cs="Times New Roman"/>
                <w:bCs/>
                <w:kern w:val="0"/>
                <w:sz w:val="17"/>
                <w:szCs w:val="17"/>
              </w:rPr>
            </w:pPr>
          </w:p>
        </w:tc>
      </w:tr>
      <w:tr w14:paraId="49EE950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88041AE">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83861D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F0316BD">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002</w:t>
            </w:r>
          </w:p>
        </w:tc>
        <w:tc>
          <w:tcPr>
            <w:tcW w:w="2370" w:type="dxa"/>
            <w:tcBorders>
              <w:tl2br w:val="nil"/>
              <w:tr2bl w:val="nil"/>
            </w:tcBorders>
            <w:shd w:val="clear" w:color="auto" w:fill="auto"/>
            <w:tcMar>
              <w:top w:w="12" w:type="dxa"/>
              <w:left w:w="12" w:type="dxa"/>
              <w:right w:w="12" w:type="dxa"/>
            </w:tcMar>
            <w:vAlign w:val="center"/>
          </w:tcPr>
          <w:p w14:paraId="39CF105F">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创业基础</w:t>
            </w:r>
          </w:p>
          <w:p w14:paraId="13D4F77C">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College Students' Entrepreneurial Foundation</w:t>
            </w:r>
          </w:p>
        </w:tc>
        <w:tc>
          <w:tcPr>
            <w:tcW w:w="579" w:type="dxa"/>
            <w:tcBorders>
              <w:tl2br w:val="nil"/>
              <w:tr2bl w:val="nil"/>
            </w:tcBorders>
            <w:shd w:val="clear" w:color="auto" w:fill="auto"/>
            <w:tcMar>
              <w:top w:w="12" w:type="dxa"/>
              <w:left w:w="12" w:type="dxa"/>
              <w:right w:w="12" w:type="dxa"/>
            </w:tcMar>
            <w:vAlign w:val="center"/>
          </w:tcPr>
          <w:p w14:paraId="3FC0EA1B">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2</w:t>
            </w:r>
          </w:p>
        </w:tc>
        <w:tc>
          <w:tcPr>
            <w:tcW w:w="469" w:type="dxa"/>
            <w:tcBorders>
              <w:tl2br w:val="nil"/>
              <w:tr2bl w:val="nil"/>
            </w:tcBorders>
            <w:shd w:val="clear" w:color="auto" w:fill="auto"/>
            <w:tcMar>
              <w:top w:w="12" w:type="dxa"/>
              <w:left w:w="12" w:type="dxa"/>
              <w:right w:w="12" w:type="dxa"/>
            </w:tcMar>
            <w:vAlign w:val="center"/>
          </w:tcPr>
          <w:p w14:paraId="48437783">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p>
        </w:tc>
        <w:tc>
          <w:tcPr>
            <w:tcW w:w="540" w:type="dxa"/>
            <w:tcBorders>
              <w:tl2br w:val="nil"/>
              <w:tr2bl w:val="nil"/>
            </w:tcBorders>
            <w:shd w:val="clear" w:color="auto" w:fill="auto"/>
            <w:tcMar>
              <w:top w:w="12" w:type="dxa"/>
              <w:left w:w="12" w:type="dxa"/>
              <w:right w:w="12" w:type="dxa"/>
            </w:tcMar>
            <w:vAlign w:val="center"/>
          </w:tcPr>
          <w:p w14:paraId="082A656D">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570" w:type="dxa"/>
            <w:tcBorders>
              <w:tl2br w:val="nil"/>
              <w:tr2bl w:val="nil"/>
            </w:tcBorders>
            <w:shd w:val="clear" w:color="auto" w:fill="auto"/>
            <w:tcMar>
              <w:top w:w="12" w:type="dxa"/>
              <w:left w:w="12" w:type="dxa"/>
              <w:right w:w="12" w:type="dxa"/>
            </w:tcMar>
            <w:vAlign w:val="center"/>
          </w:tcPr>
          <w:p w14:paraId="48071012">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16</w:t>
            </w:r>
          </w:p>
        </w:tc>
        <w:tc>
          <w:tcPr>
            <w:tcW w:w="558" w:type="dxa"/>
            <w:tcBorders>
              <w:tl2br w:val="nil"/>
              <w:tr2bl w:val="nil"/>
            </w:tcBorders>
            <w:shd w:val="clear" w:color="auto" w:fill="auto"/>
            <w:tcMar>
              <w:top w:w="12" w:type="dxa"/>
              <w:left w:w="12" w:type="dxa"/>
              <w:right w:w="12" w:type="dxa"/>
            </w:tcMar>
            <w:vAlign w:val="center"/>
          </w:tcPr>
          <w:p w14:paraId="6212EED9">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0D7ECB1B">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3E5672AD">
            <w:pPr>
              <w:adjustRightInd w:val="0"/>
              <w:spacing w:line="200" w:lineRule="exact"/>
              <w:jc w:val="center"/>
              <w:rPr>
                <w:rFonts w:ascii="Times New Roman" w:hAnsi="Times New Roman" w:cs="Times New Roman"/>
                <w:bCs/>
                <w:kern w:val="0"/>
                <w:sz w:val="17"/>
                <w:szCs w:val="17"/>
              </w:rPr>
            </w:pPr>
          </w:p>
        </w:tc>
      </w:tr>
      <w:tr w14:paraId="63201F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80D3D0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6A28F6B">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0246E4D0">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52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128</w:t>
            </w:r>
            <w:r>
              <w:rPr>
                <w:rFonts w:hint="eastAsia" w:ascii="Times New Roman" w:hAnsi="Times New Roman" w:eastAsia="宋体" w:cs="Times New Roman"/>
                <w:bCs/>
                <w:kern w:val="0"/>
                <w:sz w:val="17"/>
                <w:szCs w:val="17"/>
                <w:lang w:bidi="ar"/>
              </w:rPr>
              <w:t>8</w:t>
            </w:r>
            <w:r>
              <w:rPr>
                <w:rFonts w:ascii="Times New Roman" w:hAnsi="Times New Roman" w:eastAsia="宋体" w:cs="Times New Roman"/>
                <w:bCs/>
                <w:kern w:val="0"/>
                <w:sz w:val="17"/>
                <w:szCs w:val="17"/>
                <w:lang w:bidi="ar"/>
              </w:rPr>
              <w:t>00</w:t>
            </w:r>
            <w:r>
              <w:rPr>
                <w:rFonts w:hint="eastAsia" w:ascii="Times New Roman" w:hAnsi="Times New Roman" w:eastAsia="宋体" w:cs="Times New Roman"/>
                <w:bCs/>
                <w:kern w:val="0"/>
                <w:sz w:val="17"/>
                <w:szCs w:val="17"/>
                <w:lang w:bidi="ar"/>
              </w:rPr>
              <w:t>4</w:t>
            </w:r>
          </w:p>
        </w:tc>
        <w:tc>
          <w:tcPr>
            <w:tcW w:w="2370" w:type="dxa"/>
            <w:tcBorders>
              <w:tl2br w:val="nil"/>
              <w:tr2bl w:val="nil"/>
            </w:tcBorders>
            <w:shd w:val="clear" w:color="auto" w:fill="auto"/>
            <w:tcMar>
              <w:top w:w="12" w:type="dxa"/>
              <w:left w:w="12" w:type="dxa"/>
              <w:right w:w="12" w:type="dxa"/>
            </w:tcMar>
            <w:vAlign w:val="center"/>
          </w:tcPr>
          <w:p w14:paraId="31F9B2EC">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就业指导</w:t>
            </w:r>
          </w:p>
          <w:p w14:paraId="52E1CC08">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Employment Guidance</w:t>
            </w:r>
          </w:p>
        </w:tc>
        <w:tc>
          <w:tcPr>
            <w:tcW w:w="579" w:type="dxa"/>
            <w:tcBorders>
              <w:tl2br w:val="nil"/>
              <w:tr2bl w:val="nil"/>
            </w:tcBorders>
            <w:shd w:val="clear" w:color="auto" w:fill="auto"/>
            <w:tcMar>
              <w:top w:w="12" w:type="dxa"/>
              <w:left w:w="12" w:type="dxa"/>
              <w:right w:w="12" w:type="dxa"/>
            </w:tcMar>
            <w:vAlign w:val="center"/>
          </w:tcPr>
          <w:p w14:paraId="7B65971A">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2F5D7BD1">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20</w:t>
            </w:r>
          </w:p>
        </w:tc>
        <w:tc>
          <w:tcPr>
            <w:tcW w:w="540" w:type="dxa"/>
            <w:tcBorders>
              <w:tl2br w:val="nil"/>
              <w:tr2bl w:val="nil"/>
            </w:tcBorders>
            <w:shd w:val="clear" w:color="auto" w:fill="auto"/>
            <w:tcMar>
              <w:top w:w="12" w:type="dxa"/>
              <w:left w:w="12" w:type="dxa"/>
              <w:right w:w="12" w:type="dxa"/>
            </w:tcMar>
            <w:vAlign w:val="center"/>
          </w:tcPr>
          <w:p w14:paraId="7EF85BD9">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12</w:t>
            </w:r>
          </w:p>
        </w:tc>
        <w:tc>
          <w:tcPr>
            <w:tcW w:w="570" w:type="dxa"/>
            <w:tcBorders>
              <w:tl2br w:val="nil"/>
              <w:tr2bl w:val="nil"/>
            </w:tcBorders>
            <w:shd w:val="clear" w:color="auto" w:fill="auto"/>
            <w:tcMar>
              <w:top w:w="12" w:type="dxa"/>
              <w:left w:w="12" w:type="dxa"/>
              <w:right w:w="12" w:type="dxa"/>
            </w:tcMar>
            <w:vAlign w:val="center"/>
          </w:tcPr>
          <w:p w14:paraId="699999F1">
            <w:pPr>
              <w:adjustRightInd w:val="0"/>
              <w:jc w:val="center"/>
              <w:rPr>
                <w:rFonts w:ascii="Times New Roman" w:hAnsi="Times New Roman" w:cs="Times New Roman"/>
                <w:bCs/>
                <w:kern w:val="0"/>
                <w:sz w:val="17"/>
                <w:szCs w:val="17"/>
              </w:rPr>
            </w:pPr>
            <w:r>
              <w:rPr>
                <w:rFonts w:hint="eastAsia" w:ascii="Times New Roman" w:hAnsi="Times New Roman" w:eastAsia="宋体" w:cs="Times New Roman"/>
                <w:bCs/>
                <w:kern w:val="0"/>
                <w:sz w:val="17"/>
                <w:szCs w:val="17"/>
                <w:lang w:bidi="ar"/>
              </w:rPr>
              <w:t>8</w:t>
            </w:r>
          </w:p>
        </w:tc>
        <w:tc>
          <w:tcPr>
            <w:tcW w:w="558" w:type="dxa"/>
            <w:tcBorders>
              <w:tl2br w:val="nil"/>
              <w:tr2bl w:val="nil"/>
            </w:tcBorders>
            <w:shd w:val="clear" w:color="auto" w:fill="auto"/>
            <w:tcMar>
              <w:top w:w="12" w:type="dxa"/>
              <w:left w:w="12" w:type="dxa"/>
              <w:right w:w="12" w:type="dxa"/>
            </w:tcMar>
            <w:vAlign w:val="center"/>
          </w:tcPr>
          <w:p w14:paraId="6CCC682C">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2BA6E1B6">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3</w:t>
            </w:r>
          </w:p>
        </w:tc>
        <w:tc>
          <w:tcPr>
            <w:tcW w:w="1541" w:type="dxa"/>
            <w:tcBorders>
              <w:tl2br w:val="nil"/>
              <w:tr2bl w:val="nil"/>
            </w:tcBorders>
            <w:shd w:val="clear" w:color="auto" w:fill="auto"/>
            <w:tcMar>
              <w:top w:w="12" w:type="dxa"/>
              <w:left w:w="12" w:type="dxa"/>
              <w:right w:w="12" w:type="dxa"/>
            </w:tcMar>
            <w:vAlign w:val="center"/>
          </w:tcPr>
          <w:p w14:paraId="3A54CA9E">
            <w:pPr>
              <w:adjustRightInd w:val="0"/>
              <w:spacing w:line="200" w:lineRule="exact"/>
              <w:jc w:val="center"/>
              <w:rPr>
                <w:rFonts w:ascii="Times New Roman" w:hAnsi="Times New Roman" w:cs="Times New Roman"/>
                <w:bCs/>
                <w:kern w:val="0"/>
                <w:sz w:val="17"/>
                <w:szCs w:val="17"/>
              </w:rPr>
            </w:pPr>
          </w:p>
        </w:tc>
      </w:tr>
      <w:tr w14:paraId="38AE5B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7B9EEC84">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0F7874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16B2028C">
            <w:pPr>
              <w:adjustRightInd w:val="0"/>
              <w:jc w:val="center"/>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32</w:t>
            </w:r>
            <w:r>
              <w:rPr>
                <w:rFonts w:hint="eastAsia" w:ascii="Times New Roman" w:hAnsi="Times New Roman" w:eastAsia="宋体" w:cs="Times New Roman"/>
                <w:bCs/>
                <w:kern w:val="0"/>
                <w:sz w:val="17"/>
                <w:szCs w:val="17"/>
                <w:lang w:bidi="ar"/>
              </w:rPr>
              <w:t>2</w:t>
            </w:r>
            <w:r>
              <w:rPr>
                <w:rFonts w:ascii="Times New Roman" w:hAnsi="Times New Roman" w:eastAsia="宋体" w:cs="Times New Roman"/>
                <w:bCs/>
                <w:kern w:val="0"/>
                <w:sz w:val="17"/>
                <w:szCs w:val="17"/>
                <w:lang w:bidi="ar"/>
              </w:rPr>
              <w:t>116200</w:t>
            </w:r>
            <w:r>
              <w:rPr>
                <w:rFonts w:hint="eastAsia" w:ascii="Times New Roman" w:hAnsi="Times New Roman" w:eastAsia="宋体" w:cs="Times New Roman"/>
                <w:bCs/>
                <w:kern w:val="0"/>
                <w:sz w:val="17"/>
                <w:szCs w:val="17"/>
                <w:lang w:bidi="ar"/>
              </w:rPr>
              <w:t>2</w:t>
            </w:r>
          </w:p>
        </w:tc>
        <w:tc>
          <w:tcPr>
            <w:tcW w:w="2370" w:type="dxa"/>
            <w:tcBorders>
              <w:tl2br w:val="nil"/>
              <w:tr2bl w:val="nil"/>
            </w:tcBorders>
            <w:shd w:val="clear" w:color="auto" w:fill="auto"/>
            <w:tcMar>
              <w:top w:w="12" w:type="dxa"/>
              <w:left w:w="12" w:type="dxa"/>
              <w:right w:w="12" w:type="dxa"/>
            </w:tcMar>
            <w:vAlign w:val="center"/>
          </w:tcPr>
          <w:p w14:paraId="4F1C3D77">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国家安全教育</w:t>
            </w:r>
          </w:p>
          <w:p w14:paraId="1211E243">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National Security Education</w:t>
            </w:r>
          </w:p>
        </w:tc>
        <w:tc>
          <w:tcPr>
            <w:tcW w:w="579" w:type="dxa"/>
            <w:tcBorders>
              <w:tl2br w:val="nil"/>
              <w:tr2bl w:val="nil"/>
            </w:tcBorders>
            <w:shd w:val="clear" w:color="auto" w:fill="auto"/>
            <w:tcMar>
              <w:top w:w="12" w:type="dxa"/>
              <w:left w:w="12" w:type="dxa"/>
              <w:right w:w="12" w:type="dxa"/>
            </w:tcMar>
            <w:vAlign w:val="center"/>
          </w:tcPr>
          <w:p w14:paraId="363754A8">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w:t>
            </w:r>
          </w:p>
        </w:tc>
        <w:tc>
          <w:tcPr>
            <w:tcW w:w="469" w:type="dxa"/>
            <w:tcBorders>
              <w:tl2br w:val="nil"/>
              <w:tr2bl w:val="nil"/>
            </w:tcBorders>
            <w:shd w:val="clear" w:color="auto" w:fill="auto"/>
            <w:tcMar>
              <w:top w:w="12" w:type="dxa"/>
              <w:left w:w="12" w:type="dxa"/>
              <w:right w:w="12" w:type="dxa"/>
            </w:tcMar>
            <w:vAlign w:val="center"/>
          </w:tcPr>
          <w:p w14:paraId="470803E0">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540" w:type="dxa"/>
            <w:tcBorders>
              <w:tl2br w:val="nil"/>
              <w:tr2bl w:val="nil"/>
            </w:tcBorders>
            <w:shd w:val="clear" w:color="auto" w:fill="auto"/>
            <w:tcMar>
              <w:top w:w="12" w:type="dxa"/>
              <w:left w:w="12" w:type="dxa"/>
              <w:right w:w="12" w:type="dxa"/>
            </w:tcMar>
            <w:vAlign w:val="center"/>
          </w:tcPr>
          <w:p w14:paraId="2B25D455">
            <w:pPr>
              <w:adjustRightInd w:val="0"/>
              <w:snapToGrid w:val="0"/>
              <w:jc w:val="center"/>
              <w:rPr>
                <w:rFonts w:ascii="Times New Roman" w:hAnsi="Times New Roman" w:cs="Times New Roman"/>
                <w:bCs/>
                <w:kern w:val="0"/>
                <w:sz w:val="17"/>
                <w:szCs w:val="17"/>
              </w:rPr>
            </w:pPr>
            <w:r>
              <w:rPr>
                <w:rFonts w:hint="eastAsia" w:ascii="Times New Roman" w:hAnsi="Times New Roman" w:eastAsia="宋体" w:cs="Times New Roman"/>
                <w:bCs/>
                <w:color w:val="000000"/>
                <w:kern w:val="0"/>
                <w:sz w:val="17"/>
                <w:szCs w:val="17"/>
                <w:lang w:bidi="ar"/>
              </w:rPr>
              <w:t>16</w:t>
            </w:r>
          </w:p>
        </w:tc>
        <w:tc>
          <w:tcPr>
            <w:tcW w:w="570" w:type="dxa"/>
            <w:tcBorders>
              <w:tl2br w:val="nil"/>
              <w:tr2bl w:val="nil"/>
            </w:tcBorders>
            <w:shd w:val="clear" w:color="auto" w:fill="auto"/>
            <w:tcMar>
              <w:top w:w="12" w:type="dxa"/>
              <w:left w:w="12" w:type="dxa"/>
              <w:right w:w="12" w:type="dxa"/>
            </w:tcMar>
            <w:vAlign w:val="center"/>
          </w:tcPr>
          <w:p w14:paraId="751C1BA7">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67E48320">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3F63B38A">
            <w:pPr>
              <w:adjustRightInd w:val="0"/>
              <w:snapToGrid w:val="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04010F59">
            <w:pPr>
              <w:adjustRightInd w:val="0"/>
              <w:spacing w:line="200" w:lineRule="exact"/>
              <w:jc w:val="center"/>
              <w:rPr>
                <w:rFonts w:ascii="Times New Roman" w:hAnsi="Times New Roman" w:cs="Times New Roman"/>
                <w:bCs/>
                <w:kern w:val="0"/>
                <w:sz w:val="17"/>
                <w:szCs w:val="17"/>
              </w:rPr>
            </w:pPr>
          </w:p>
        </w:tc>
      </w:tr>
      <w:tr w14:paraId="632F2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C5331AA">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65F669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34918D67">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3221219001</w:t>
            </w:r>
          </w:p>
        </w:tc>
        <w:tc>
          <w:tcPr>
            <w:tcW w:w="2370" w:type="dxa"/>
            <w:tcBorders>
              <w:tl2br w:val="nil"/>
              <w:tr2bl w:val="nil"/>
            </w:tcBorders>
            <w:shd w:val="clear" w:color="auto" w:fill="auto"/>
            <w:tcMar>
              <w:top w:w="12" w:type="dxa"/>
              <w:left w:w="12" w:type="dxa"/>
              <w:right w:w="12" w:type="dxa"/>
            </w:tcMar>
            <w:vAlign w:val="center"/>
          </w:tcPr>
          <w:p w14:paraId="4C0DF0CE">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大学生心理健康教育</w:t>
            </w:r>
          </w:p>
          <w:p w14:paraId="1FF5522D">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Psychological Health Education of College Students</w:t>
            </w:r>
          </w:p>
        </w:tc>
        <w:tc>
          <w:tcPr>
            <w:tcW w:w="579" w:type="dxa"/>
            <w:tcBorders>
              <w:tl2br w:val="nil"/>
              <w:tr2bl w:val="nil"/>
            </w:tcBorders>
            <w:shd w:val="clear" w:color="auto" w:fill="auto"/>
            <w:tcMar>
              <w:top w:w="12" w:type="dxa"/>
              <w:left w:w="12" w:type="dxa"/>
              <w:right w:w="12" w:type="dxa"/>
            </w:tcMar>
            <w:vAlign w:val="center"/>
          </w:tcPr>
          <w:p w14:paraId="1A1DCC83">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2</w:t>
            </w:r>
          </w:p>
        </w:tc>
        <w:tc>
          <w:tcPr>
            <w:tcW w:w="469" w:type="dxa"/>
            <w:tcBorders>
              <w:tl2br w:val="nil"/>
              <w:tr2bl w:val="nil"/>
            </w:tcBorders>
            <w:shd w:val="clear" w:color="auto" w:fill="auto"/>
            <w:tcMar>
              <w:top w:w="12" w:type="dxa"/>
              <w:left w:w="12" w:type="dxa"/>
              <w:right w:w="12" w:type="dxa"/>
            </w:tcMar>
            <w:vAlign w:val="center"/>
          </w:tcPr>
          <w:p w14:paraId="2A35E9CB">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540" w:type="dxa"/>
            <w:tcBorders>
              <w:tl2br w:val="nil"/>
              <w:tr2bl w:val="nil"/>
            </w:tcBorders>
            <w:shd w:val="clear" w:color="auto" w:fill="auto"/>
            <w:tcMar>
              <w:top w:w="12" w:type="dxa"/>
              <w:left w:w="12" w:type="dxa"/>
              <w:right w:w="12" w:type="dxa"/>
            </w:tcMar>
            <w:vAlign w:val="center"/>
          </w:tcPr>
          <w:p w14:paraId="58F3D876">
            <w:pPr>
              <w:adjustRightInd w:val="0"/>
              <w:snapToGrid w:val="0"/>
              <w:jc w:val="center"/>
              <w:rPr>
                <w:rFonts w:ascii="Times New Roman" w:hAnsi="Times New Roman" w:cs="Times New Roman"/>
                <w:bCs/>
                <w:kern w:val="0"/>
                <w:sz w:val="17"/>
                <w:szCs w:val="17"/>
              </w:rPr>
            </w:pPr>
            <w:r>
              <w:rPr>
                <w:rFonts w:ascii="Times New Roman" w:hAnsi="Times New Roman" w:eastAsia="宋体" w:cs="Times New Roman"/>
                <w:bCs/>
                <w:color w:val="000000"/>
                <w:kern w:val="0"/>
                <w:sz w:val="17"/>
                <w:szCs w:val="17"/>
                <w:lang w:bidi="ar"/>
              </w:rPr>
              <w:t>32</w:t>
            </w:r>
          </w:p>
        </w:tc>
        <w:tc>
          <w:tcPr>
            <w:tcW w:w="570" w:type="dxa"/>
            <w:tcBorders>
              <w:tl2br w:val="nil"/>
              <w:tr2bl w:val="nil"/>
            </w:tcBorders>
            <w:shd w:val="clear" w:color="auto" w:fill="auto"/>
            <w:tcMar>
              <w:top w:w="12" w:type="dxa"/>
              <w:left w:w="12" w:type="dxa"/>
              <w:right w:w="12" w:type="dxa"/>
            </w:tcMar>
            <w:vAlign w:val="center"/>
          </w:tcPr>
          <w:p w14:paraId="156D2FC3">
            <w:pPr>
              <w:adjustRightInd w:val="0"/>
              <w:snapToGrid w:val="0"/>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109BCD6F">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47D58A0B">
            <w:pPr>
              <w:adjustRightInd w:val="0"/>
              <w:snapToGrid w:val="0"/>
              <w:jc w:val="center"/>
              <w:rPr>
                <w:rFonts w:ascii="Times New Roman" w:hAnsi="Times New Roman" w:cs="Times New Roman"/>
                <w:bCs/>
                <w:kern w:val="0"/>
                <w:sz w:val="17"/>
                <w:szCs w:val="17"/>
              </w:rPr>
            </w:pPr>
            <w:r>
              <w:rPr>
                <w:rFonts w:ascii="Times New Roman" w:hAnsi="Times New Roman" w:cs="Times New Roman"/>
                <w:bCs/>
                <w:kern w:val="0"/>
                <w:sz w:val="17"/>
                <w:szCs w:val="17"/>
              </w:rPr>
              <w:t>1</w:t>
            </w:r>
          </w:p>
        </w:tc>
        <w:tc>
          <w:tcPr>
            <w:tcW w:w="1541" w:type="dxa"/>
            <w:tcBorders>
              <w:tl2br w:val="nil"/>
              <w:tr2bl w:val="nil"/>
            </w:tcBorders>
            <w:shd w:val="clear" w:color="auto" w:fill="auto"/>
            <w:tcMar>
              <w:top w:w="12" w:type="dxa"/>
              <w:left w:w="12" w:type="dxa"/>
              <w:right w:w="12" w:type="dxa"/>
            </w:tcMar>
            <w:vAlign w:val="center"/>
          </w:tcPr>
          <w:p w14:paraId="4E47E955">
            <w:pPr>
              <w:adjustRightInd w:val="0"/>
              <w:spacing w:line="200" w:lineRule="exact"/>
              <w:jc w:val="center"/>
              <w:rPr>
                <w:rFonts w:ascii="Times New Roman" w:hAnsi="Times New Roman" w:cs="Times New Roman"/>
                <w:bCs/>
                <w:kern w:val="0"/>
                <w:sz w:val="17"/>
                <w:szCs w:val="17"/>
              </w:rPr>
            </w:pPr>
          </w:p>
        </w:tc>
      </w:tr>
      <w:tr w14:paraId="3260D3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B648980">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D7A8CB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57DFA8F5">
            <w:pPr>
              <w:adjustRightInd w:val="0"/>
              <w:snapToGrid w:val="0"/>
              <w:jc w:val="center"/>
              <w:rPr>
                <w:rFonts w:ascii="Times New Roman" w:hAnsi="Times New Roman" w:cs="Times New Roman"/>
                <w:bCs/>
                <w:kern w:val="0"/>
                <w:sz w:val="17"/>
                <w:szCs w:val="17"/>
              </w:rPr>
            </w:pPr>
            <w:r>
              <w:rPr>
                <w:rFonts w:hint="eastAsia" w:ascii="Times New Roman" w:hAnsi="Times New Roman" w:cs="宋体"/>
                <w:bCs/>
                <w:sz w:val="17"/>
                <w:szCs w:val="17"/>
              </w:rPr>
              <w:t>3221484001</w:t>
            </w:r>
          </w:p>
        </w:tc>
        <w:tc>
          <w:tcPr>
            <w:tcW w:w="2370" w:type="dxa"/>
            <w:tcBorders>
              <w:tl2br w:val="nil"/>
              <w:tr2bl w:val="nil"/>
            </w:tcBorders>
            <w:shd w:val="clear" w:color="auto" w:fill="auto"/>
            <w:tcMar>
              <w:top w:w="12" w:type="dxa"/>
              <w:left w:w="12" w:type="dxa"/>
              <w:right w:w="12" w:type="dxa"/>
            </w:tcMar>
            <w:vAlign w:val="center"/>
          </w:tcPr>
          <w:p w14:paraId="56803794">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1704BF7A">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Labor Education</w:t>
            </w:r>
          </w:p>
        </w:tc>
        <w:tc>
          <w:tcPr>
            <w:tcW w:w="579" w:type="dxa"/>
            <w:tcBorders>
              <w:tl2br w:val="nil"/>
              <w:tr2bl w:val="nil"/>
            </w:tcBorders>
            <w:shd w:val="clear" w:color="auto" w:fill="auto"/>
            <w:tcMar>
              <w:top w:w="12" w:type="dxa"/>
              <w:left w:w="12" w:type="dxa"/>
              <w:right w:w="12" w:type="dxa"/>
            </w:tcMar>
            <w:vAlign w:val="center"/>
          </w:tcPr>
          <w:p w14:paraId="70ED31D0">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1</w:t>
            </w:r>
          </w:p>
        </w:tc>
        <w:tc>
          <w:tcPr>
            <w:tcW w:w="469" w:type="dxa"/>
            <w:tcBorders>
              <w:tl2br w:val="nil"/>
              <w:tr2bl w:val="nil"/>
            </w:tcBorders>
            <w:shd w:val="clear" w:color="auto" w:fill="auto"/>
            <w:tcMar>
              <w:top w:w="12" w:type="dxa"/>
              <w:left w:w="12" w:type="dxa"/>
              <w:right w:w="12" w:type="dxa"/>
            </w:tcMar>
            <w:vAlign w:val="center"/>
          </w:tcPr>
          <w:p w14:paraId="4A13413F">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16</w:t>
            </w:r>
          </w:p>
        </w:tc>
        <w:tc>
          <w:tcPr>
            <w:tcW w:w="540" w:type="dxa"/>
            <w:tcBorders>
              <w:tl2br w:val="nil"/>
              <w:tr2bl w:val="nil"/>
            </w:tcBorders>
            <w:shd w:val="clear" w:color="auto" w:fill="auto"/>
            <w:tcMar>
              <w:top w:w="12" w:type="dxa"/>
              <w:left w:w="12" w:type="dxa"/>
              <w:right w:w="12" w:type="dxa"/>
            </w:tcMar>
            <w:vAlign w:val="center"/>
          </w:tcPr>
          <w:p w14:paraId="7E53CD16">
            <w:pPr>
              <w:adjustRightInd w:val="0"/>
              <w:snapToGrid w:val="0"/>
              <w:jc w:val="center"/>
              <w:rPr>
                <w:rFonts w:ascii="Times New Roman" w:hAnsi="Times New Roman" w:cs="Times New Roman"/>
                <w:bCs/>
                <w:kern w:val="0"/>
                <w:sz w:val="17"/>
                <w:szCs w:val="17"/>
              </w:rPr>
            </w:pPr>
            <w:r>
              <w:rPr>
                <w:rFonts w:ascii="Times New Roman" w:hAnsi="Times New Roman" w:cs="宋体"/>
                <w:bCs/>
                <w:kern w:val="0"/>
                <w:sz w:val="17"/>
                <w:szCs w:val="17"/>
              </w:rPr>
              <w:t>8</w:t>
            </w:r>
          </w:p>
        </w:tc>
        <w:tc>
          <w:tcPr>
            <w:tcW w:w="570" w:type="dxa"/>
            <w:tcBorders>
              <w:tl2br w:val="nil"/>
              <w:tr2bl w:val="nil"/>
            </w:tcBorders>
            <w:shd w:val="clear" w:color="auto" w:fill="auto"/>
            <w:tcMar>
              <w:top w:w="12" w:type="dxa"/>
              <w:left w:w="12" w:type="dxa"/>
              <w:right w:w="12" w:type="dxa"/>
            </w:tcMar>
            <w:vAlign w:val="center"/>
          </w:tcPr>
          <w:p w14:paraId="31EB7793">
            <w:pPr>
              <w:adjustRightInd w:val="0"/>
              <w:snapToGrid w:val="0"/>
              <w:jc w:val="center"/>
              <w:rPr>
                <w:rFonts w:ascii="Times New Roman" w:hAnsi="Times New Roman" w:cs="Times New Roman"/>
                <w:bCs/>
                <w:kern w:val="0"/>
                <w:sz w:val="17"/>
                <w:szCs w:val="17"/>
              </w:rPr>
            </w:pPr>
            <w:r>
              <w:rPr>
                <w:rFonts w:hint="eastAsia" w:ascii="Times New Roman" w:hAnsi="Times New Roman" w:cs="宋体"/>
                <w:bCs/>
                <w:kern w:val="0"/>
                <w:sz w:val="17"/>
                <w:szCs w:val="17"/>
              </w:rPr>
              <w:t>8</w:t>
            </w:r>
          </w:p>
        </w:tc>
        <w:tc>
          <w:tcPr>
            <w:tcW w:w="558" w:type="dxa"/>
            <w:tcBorders>
              <w:tl2br w:val="nil"/>
              <w:tr2bl w:val="nil"/>
            </w:tcBorders>
            <w:shd w:val="clear" w:color="auto" w:fill="auto"/>
            <w:tcMar>
              <w:top w:w="12" w:type="dxa"/>
              <w:left w:w="12" w:type="dxa"/>
              <w:right w:w="12" w:type="dxa"/>
            </w:tcMar>
            <w:vAlign w:val="center"/>
          </w:tcPr>
          <w:p w14:paraId="1962EF8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3EA5680F">
            <w:pPr>
              <w:adjustRightInd w:val="0"/>
              <w:snapToGrid w:val="0"/>
              <w:jc w:val="center"/>
              <w:rPr>
                <w:rFonts w:ascii="Times New Roman" w:hAnsi="Times New Roman" w:cs="Times New Roman"/>
                <w:bCs/>
                <w:kern w:val="0"/>
                <w:sz w:val="17"/>
                <w:szCs w:val="17"/>
              </w:rPr>
            </w:pPr>
            <w:r>
              <w:rPr>
                <w:rFonts w:ascii="Times New Roman" w:hAnsi="Times New Roman" w:cs="Times New Roman"/>
                <w:bCs/>
                <w:kern w:val="0"/>
                <w:sz w:val="17"/>
                <w:szCs w:val="17"/>
              </w:rPr>
              <w:t>2</w:t>
            </w:r>
          </w:p>
        </w:tc>
        <w:tc>
          <w:tcPr>
            <w:tcW w:w="1541" w:type="dxa"/>
            <w:tcBorders>
              <w:tl2br w:val="nil"/>
              <w:tr2bl w:val="nil"/>
            </w:tcBorders>
            <w:shd w:val="clear" w:color="auto" w:fill="auto"/>
            <w:tcMar>
              <w:top w:w="12" w:type="dxa"/>
              <w:left w:w="12" w:type="dxa"/>
              <w:right w:w="12" w:type="dxa"/>
            </w:tcMar>
            <w:vAlign w:val="center"/>
          </w:tcPr>
          <w:p w14:paraId="6D9DF3AE">
            <w:pPr>
              <w:adjustRightInd w:val="0"/>
              <w:spacing w:line="200" w:lineRule="exact"/>
              <w:jc w:val="center"/>
              <w:rPr>
                <w:rFonts w:ascii="Times New Roman" w:hAnsi="Times New Roman" w:cs="Times New Roman"/>
                <w:bCs/>
                <w:kern w:val="0"/>
                <w:sz w:val="17"/>
                <w:szCs w:val="17"/>
              </w:rPr>
            </w:pPr>
          </w:p>
        </w:tc>
      </w:tr>
      <w:tr w14:paraId="6CE777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B7584A6">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B4EFA73">
            <w:pPr>
              <w:adjustRightInd w:val="0"/>
              <w:spacing w:line="200" w:lineRule="exact"/>
              <w:jc w:val="center"/>
              <w:rPr>
                <w:rFonts w:ascii="Times New Roman" w:hAnsi="Times New Roman" w:cs="Times New Roman"/>
                <w:bCs/>
                <w:kern w:val="0"/>
                <w:sz w:val="17"/>
                <w:szCs w:val="17"/>
              </w:rPr>
            </w:pPr>
          </w:p>
        </w:tc>
        <w:tc>
          <w:tcPr>
            <w:tcW w:w="3591" w:type="dxa"/>
            <w:gridSpan w:val="2"/>
            <w:tcBorders>
              <w:tl2br w:val="nil"/>
              <w:tr2bl w:val="nil"/>
            </w:tcBorders>
            <w:shd w:val="clear" w:color="auto" w:fill="auto"/>
            <w:tcMar>
              <w:top w:w="12" w:type="dxa"/>
              <w:left w:w="12" w:type="dxa"/>
              <w:right w:w="12" w:type="dxa"/>
            </w:tcMar>
            <w:vAlign w:val="center"/>
          </w:tcPr>
          <w:p w14:paraId="6B202E4F">
            <w:pPr>
              <w:adjustRightInd w:val="0"/>
              <w:spacing w:line="200" w:lineRule="exact"/>
              <w:jc w:val="center"/>
              <w:rPr>
                <w:rFonts w:ascii="Times New Roman" w:hAnsi="Times New Roman" w:cs="Times New Roman"/>
                <w:b/>
                <w:kern w:val="0"/>
                <w:sz w:val="17"/>
                <w:szCs w:val="17"/>
                <w:highlight w:val="yellow"/>
              </w:rPr>
            </w:pPr>
            <w:r>
              <w:rPr>
                <w:rFonts w:ascii="Times New Roman" w:hAnsi="Times New Roman" w:cs="Times New Roman"/>
                <w:b/>
                <w:kern w:val="0"/>
                <w:sz w:val="17"/>
                <w:szCs w:val="17"/>
              </w:rPr>
              <w:t>合计</w:t>
            </w:r>
          </w:p>
        </w:tc>
        <w:tc>
          <w:tcPr>
            <w:tcW w:w="579" w:type="dxa"/>
            <w:tcBorders>
              <w:tl2br w:val="nil"/>
              <w:tr2bl w:val="nil"/>
            </w:tcBorders>
            <w:shd w:val="clear" w:color="auto" w:fill="auto"/>
            <w:tcMar>
              <w:top w:w="12" w:type="dxa"/>
              <w:left w:w="12" w:type="dxa"/>
              <w:right w:w="12" w:type="dxa"/>
            </w:tcMar>
            <w:vAlign w:val="center"/>
          </w:tcPr>
          <w:p w14:paraId="0D47330C">
            <w:pPr>
              <w:adjustRightInd w:val="0"/>
              <w:snapToGrid w:val="0"/>
              <w:jc w:val="center"/>
              <w:rPr>
                <w:rFonts w:ascii="Times New Roman" w:hAnsi="Times New Roman" w:cs="Times New Roman"/>
                <w:b/>
                <w:kern w:val="0"/>
                <w:sz w:val="17"/>
                <w:szCs w:val="17"/>
                <w:highlight w:val="yellow"/>
              </w:rPr>
            </w:pPr>
            <w:r>
              <w:rPr>
                <w:rFonts w:hint="eastAsia" w:ascii="Times New Roman" w:hAnsi="Times New Roman" w:cs="Times New Roman"/>
                <w:b/>
                <w:kern w:val="0"/>
                <w:sz w:val="17"/>
                <w:szCs w:val="17"/>
              </w:rPr>
              <w:t>43.5</w:t>
            </w:r>
          </w:p>
        </w:tc>
        <w:tc>
          <w:tcPr>
            <w:tcW w:w="469" w:type="dxa"/>
            <w:tcBorders>
              <w:tl2br w:val="nil"/>
              <w:tr2bl w:val="nil"/>
            </w:tcBorders>
            <w:shd w:val="clear" w:color="auto" w:fill="auto"/>
            <w:tcMar>
              <w:top w:w="12" w:type="dxa"/>
              <w:left w:w="12" w:type="dxa"/>
              <w:right w:w="12" w:type="dxa"/>
            </w:tcMar>
            <w:vAlign w:val="center"/>
          </w:tcPr>
          <w:p w14:paraId="5CB346BE">
            <w:pPr>
              <w:adjustRightInd w:val="0"/>
              <w:snapToGrid w:val="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8</w:t>
            </w:r>
            <w:r>
              <w:rPr>
                <w:rFonts w:ascii="Times New Roman" w:hAnsi="Times New Roman" w:cs="Times New Roman"/>
                <w:b/>
                <w:kern w:val="0"/>
                <w:sz w:val="17"/>
                <w:szCs w:val="17"/>
              </w:rPr>
              <w:t>76</w:t>
            </w:r>
          </w:p>
        </w:tc>
        <w:tc>
          <w:tcPr>
            <w:tcW w:w="540" w:type="dxa"/>
            <w:tcBorders>
              <w:tl2br w:val="nil"/>
              <w:tr2bl w:val="nil"/>
            </w:tcBorders>
            <w:shd w:val="clear" w:color="auto" w:fill="auto"/>
            <w:tcMar>
              <w:top w:w="12" w:type="dxa"/>
              <w:left w:w="12" w:type="dxa"/>
              <w:right w:w="12" w:type="dxa"/>
            </w:tcMar>
            <w:vAlign w:val="center"/>
          </w:tcPr>
          <w:p w14:paraId="396AB7A7">
            <w:pPr>
              <w:adjustRightInd w:val="0"/>
              <w:snapToGrid w:val="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5</w:t>
            </w:r>
            <w:r>
              <w:rPr>
                <w:rFonts w:ascii="Times New Roman" w:hAnsi="Times New Roman" w:cs="Times New Roman"/>
                <w:b/>
                <w:kern w:val="0"/>
                <w:sz w:val="17"/>
                <w:szCs w:val="17"/>
              </w:rPr>
              <w:t>84</w:t>
            </w:r>
          </w:p>
        </w:tc>
        <w:tc>
          <w:tcPr>
            <w:tcW w:w="570" w:type="dxa"/>
            <w:tcBorders>
              <w:tl2br w:val="nil"/>
              <w:tr2bl w:val="nil"/>
            </w:tcBorders>
            <w:shd w:val="clear" w:color="auto" w:fill="auto"/>
            <w:tcMar>
              <w:top w:w="12" w:type="dxa"/>
              <w:left w:w="12" w:type="dxa"/>
              <w:right w:w="12" w:type="dxa"/>
            </w:tcMar>
            <w:vAlign w:val="center"/>
          </w:tcPr>
          <w:p w14:paraId="1B579F8A">
            <w:pPr>
              <w:adjustRightInd w:val="0"/>
              <w:snapToGrid w:val="0"/>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2</w:t>
            </w:r>
            <w:r>
              <w:rPr>
                <w:rFonts w:ascii="Times New Roman" w:hAnsi="Times New Roman" w:cs="Times New Roman"/>
                <w:b/>
                <w:kern w:val="0"/>
                <w:sz w:val="17"/>
                <w:szCs w:val="17"/>
              </w:rPr>
              <w:t>92</w:t>
            </w:r>
          </w:p>
        </w:tc>
        <w:tc>
          <w:tcPr>
            <w:tcW w:w="558" w:type="dxa"/>
            <w:tcBorders>
              <w:tl2br w:val="nil"/>
              <w:tr2bl w:val="nil"/>
            </w:tcBorders>
            <w:shd w:val="clear" w:color="auto" w:fill="auto"/>
            <w:tcMar>
              <w:top w:w="12" w:type="dxa"/>
              <w:left w:w="12" w:type="dxa"/>
              <w:right w:w="12" w:type="dxa"/>
            </w:tcMar>
            <w:vAlign w:val="center"/>
          </w:tcPr>
          <w:p w14:paraId="3EF43429">
            <w:pPr>
              <w:adjustRightInd w:val="0"/>
              <w:spacing w:line="200" w:lineRule="exact"/>
              <w:jc w:val="center"/>
              <w:rPr>
                <w:rFonts w:ascii="Times New Roman" w:hAnsi="Times New Roman" w:cs="Times New Roman"/>
                <w:b/>
                <w:kern w:val="0"/>
                <w:sz w:val="17"/>
                <w:szCs w:val="17"/>
              </w:rPr>
            </w:pPr>
          </w:p>
        </w:tc>
        <w:tc>
          <w:tcPr>
            <w:tcW w:w="619" w:type="dxa"/>
            <w:tcBorders>
              <w:tl2br w:val="nil"/>
              <w:tr2bl w:val="nil"/>
            </w:tcBorders>
            <w:shd w:val="clear" w:color="auto" w:fill="auto"/>
            <w:tcMar>
              <w:top w:w="12" w:type="dxa"/>
              <w:left w:w="12" w:type="dxa"/>
              <w:right w:w="12" w:type="dxa"/>
            </w:tcMar>
            <w:vAlign w:val="center"/>
          </w:tcPr>
          <w:p w14:paraId="12061ED6">
            <w:pPr>
              <w:adjustRightInd w:val="0"/>
              <w:spacing w:line="200" w:lineRule="exact"/>
              <w:jc w:val="center"/>
              <w:rPr>
                <w:rFonts w:ascii="Times New Roman" w:hAnsi="Times New Roman" w:cs="Times New Roman"/>
                <w:bCs/>
                <w:kern w:val="0"/>
                <w:sz w:val="17"/>
                <w:szCs w:val="17"/>
              </w:rPr>
            </w:pPr>
          </w:p>
        </w:tc>
        <w:tc>
          <w:tcPr>
            <w:tcW w:w="1541" w:type="dxa"/>
            <w:tcBorders>
              <w:tl2br w:val="nil"/>
              <w:tr2bl w:val="nil"/>
            </w:tcBorders>
            <w:shd w:val="clear" w:color="auto" w:fill="auto"/>
            <w:tcMar>
              <w:top w:w="12" w:type="dxa"/>
              <w:left w:w="12" w:type="dxa"/>
              <w:right w:w="12" w:type="dxa"/>
            </w:tcMar>
            <w:vAlign w:val="center"/>
          </w:tcPr>
          <w:p w14:paraId="5C930C7F">
            <w:pPr>
              <w:adjustRightInd w:val="0"/>
              <w:spacing w:line="200" w:lineRule="exact"/>
              <w:jc w:val="center"/>
              <w:rPr>
                <w:rFonts w:ascii="Times New Roman" w:hAnsi="Times New Roman" w:cs="Times New Roman"/>
                <w:bCs/>
                <w:kern w:val="0"/>
                <w:sz w:val="17"/>
                <w:szCs w:val="17"/>
              </w:rPr>
            </w:pPr>
          </w:p>
        </w:tc>
      </w:tr>
      <w:tr w14:paraId="6C2A7C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6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30F620E">
            <w:pPr>
              <w:adjustRightInd w:val="0"/>
              <w:spacing w:line="200" w:lineRule="exact"/>
              <w:jc w:val="center"/>
              <w:rPr>
                <w:rFonts w:ascii="Times New Roman" w:hAnsi="Times New Roman" w:cs="Times New Roman"/>
                <w:bCs/>
                <w:kern w:val="0"/>
                <w:sz w:val="17"/>
                <w:szCs w:val="17"/>
              </w:rPr>
            </w:pPr>
          </w:p>
        </w:tc>
        <w:tc>
          <w:tcPr>
            <w:tcW w:w="519" w:type="dxa"/>
            <w:vMerge w:val="restart"/>
            <w:tcBorders>
              <w:tl2br w:val="nil"/>
              <w:tr2bl w:val="nil"/>
            </w:tcBorders>
            <w:shd w:val="clear" w:color="auto" w:fill="auto"/>
            <w:tcMar>
              <w:top w:w="12" w:type="dxa"/>
              <w:left w:w="12" w:type="dxa"/>
              <w:right w:w="12" w:type="dxa"/>
            </w:tcMar>
            <w:vAlign w:val="center"/>
          </w:tcPr>
          <w:p w14:paraId="2FBA0A84">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公共选修课程</w:t>
            </w:r>
          </w:p>
        </w:tc>
        <w:tc>
          <w:tcPr>
            <w:tcW w:w="3591" w:type="dxa"/>
            <w:gridSpan w:val="2"/>
            <w:tcBorders>
              <w:tl2br w:val="nil"/>
              <w:tr2bl w:val="nil"/>
            </w:tcBorders>
            <w:shd w:val="clear" w:color="auto" w:fill="auto"/>
            <w:tcMar>
              <w:top w:w="12" w:type="dxa"/>
              <w:left w:w="12" w:type="dxa"/>
              <w:right w:w="12" w:type="dxa"/>
            </w:tcMar>
            <w:vAlign w:val="center"/>
          </w:tcPr>
          <w:p w14:paraId="0FDA598C">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Cs/>
                <w:kern w:val="0"/>
                <w:sz w:val="17"/>
                <w:szCs w:val="17"/>
              </w:rPr>
              <w:t>要求学生至少3学分，课程详见附件2</w:t>
            </w:r>
          </w:p>
        </w:tc>
        <w:tc>
          <w:tcPr>
            <w:tcW w:w="4876" w:type="dxa"/>
            <w:gridSpan w:val="7"/>
            <w:tcBorders>
              <w:tl2br w:val="nil"/>
              <w:tr2bl w:val="nil"/>
            </w:tcBorders>
            <w:shd w:val="clear" w:color="auto" w:fill="auto"/>
            <w:tcMar>
              <w:top w:w="12" w:type="dxa"/>
              <w:left w:w="12" w:type="dxa"/>
              <w:right w:w="12" w:type="dxa"/>
            </w:tcMar>
            <w:vAlign w:val="center"/>
          </w:tcPr>
          <w:p w14:paraId="556C0CBB">
            <w:pPr>
              <w:adjustRightInd w:val="0"/>
              <w:spacing w:line="200" w:lineRule="exact"/>
              <w:jc w:val="left"/>
              <w:rPr>
                <w:rFonts w:ascii="Times New Roman" w:hAnsi="Times New Roman" w:cs="Times New Roman"/>
                <w:bCs/>
                <w:kern w:val="0"/>
                <w:sz w:val="17"/>
                <w:szCs w:val="17"/>
              </w:rPr>
            </w:pPr>
            <w:r>
              <w:rPr>
                <w:rFonts w:ascii="Times New Roman" w:hAnsi="Times New Roman" w:cs="Times New Roman"/>
                <w:bCs/>
                <w:kern w:val="0"/>
                <w:sz w:val="17"/>
                <w:szCs w:val="17"/>
              </w:rPr>
              <w:t>除了艺术类专业，其他专业必选公共艺术类课程2学分，其他类型选修课选学1学分，一共选修3学分，列入最低毕业总学分；艺术类专业选修其他类型选修课3学分。共3学分。</w:t>
            </w:r>
          </w:p>
        </w:tc>
      </w:tr>
      <w:tr w14:paraId="30F10C8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9E1D772">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72BFA43">
            <w:pPr>
              <w:adjustRightInd w:val="0"/>
              <w:spacing w:line="200" w:lineRule="exact"/>
              <w:jc w:val="center"/>
              <w:rPr>
                <w:rFonts w:ascii="Times New Roman" w:hAnsi="Times New Roman" w:cs="Times New Roman"/>
                <w:bCs/>
                <w:kern w:val="0"/>
                <w:sz w:val="17"/>
                <w:szCs w:val="17"/>
              </w:rPr>
            </w:pPr>
          </w:p>
        </w:tc>
        <w:tc>
          <w:tcPr>
            <w:tcW w:w="3591" w:type="dxa"/>
            <w:gridSpan w:val="2"/>
            <w:tcBorders>
              <w:tl2br w:val="nil"/>
              <w:tr2bl w:val="nil"/>
            </w:tcBorders>
            <w:shd w:val="clear" w:color="auto" w:fill="auto"/>
            <w:tcMar>
              <w:top w:w="12" w:type="dxa"/>
              <w:left w:w="12" w:type="dxa"/>
              <w:right w:w="12" w:type="dxa"/>
            </w:tcMar>
            <w:vAlign w:val="center"/>
          </w:tcPr>
          <w:p w14:paraId="73CB2B7A">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579" w:type="dxa"/>
            <w:tcBorders>
              <w:tl2br w:val="nil"/>
              <w:tr2bl w:val="nil"/>
            </w:tcBorders>
            <w:shd w:val="clear" w:color="auto" w:fill="auto"/>
            <w:tcMar>
              <w:top w:w="12" w:type="dxa"/>
              <w:left w:w="12" w:type="dxa"/>
              <w:right w:w="12" w:type="dxa"/>
            </w:tcMar>
            <w:vAlign w:val="center"/>
          </w:tcPr>
          <w:p w14:paraId="0BCB7124">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3</w:t>
            </w:r>
          </w:p>
        </w:tc>
        <w:tc>
          <w:tcPr>
            <w:tcW w:w="469" w:type="dxa"/>
            <w:tcBorders>
              <w:tl2br w:val="nil"/>
              <w:tr2bl w:val="nil"/>
            </w:tcBorders>
            <w:shd w:val="clear" w:color="auto" w:fill="auto"/>
            <w:tcMar>
              <w:top w:w="12" w:type="dxa"/>
              <w:left w:w="12" w:type="dxa"/>
              <w:right w:w="12" w:type="dxa"/>
            </w:tcMar>
            <w:vAlign w:val="center"/>
          </w:tcPr>
          <w:p w14:paraId="1D6B9C7D">
            <w:pPr>
              <w:adjustRightInd w:val="0"/>
              <w:spacing w:line="200" w:lineRule="exact"/>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48</w:t>
            </w:r>
          </w:p>
        </w:tc>
        <w:tc>
          <w:tcPr>
            <w:tcW w:w="540" w:type="dxa"/>
            <w:tcBorders>
              <w:tl2br w:val="nil"/>
              <w:tr2bl w:val="nil"/>
            </w:tcBorders>
            <w:shd w:val="clear" w:color="auto" w:fill="auto"/>
            <w:tcMar>
              <w:top w:w="12" w:type="dxa"/>
              <w:left w:w="12" w:type="dxa"/>
              <w:right w:w="12" w:type="dxa"/>
            </w:tcMar>
            <w:vAlign w:val="center"/>
          </w:tcPr>
          <w:p w14:paraId="0C93969F">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48</w:t>
            </w:r>
          </w:p>
        </w:tc>
        <w:tc>
          <w:tcPr>
            <w:tcW w:w="570" w:type="dxa"/>
            <w:tcBorders>
              <w:tl2br w:val="nil"/>
              <w:tr2bl w:val="nil"/>
            </w:tcBorders>
            <w:shd w:val="clear" w:color="auto" w:fill="auto"/>
            <w:tcMar>
              <w:top w:w="12" w:type="dxa"/>
              <w:left w:w="12" w:type="dxa"/>
              <w:right w:w="12" w:type="dxa"/>
            </w:tcMar>
            <w:vAlign w:val="center"/>
          </w:tcPr>
          <w:p w14:paraId="14EF6EB0">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0</w:t>
            </w:r>
          </w:p>
        </w:tc>
        <w:tc>
          <w:tcPr>
            <w:tcW w:w="558" w:type="dxa"/>
            <w:tcBorders>
              <w:tl2br w:val="nil"/>
              <w:tr2bl w:val="nil"/>
            </w:tcBorders>
            <w:shd w:val="clear" w:color="auto" w:fill="auto"/>
            <w:tcMar>
              <w:top w:w="12" w:type="dxa"/>
              <w:left w:w="12" w:type="dxa"/>
              <w:right w:w="12" w:type="dxa"/>
            </w:tcMar>
            <w:vAlign w:val="center"/>
          </w:tcPr>
          <w:p w14:paraId="1E922CD1">
            <w:pPr>
              <w:adjustRightInd w:val="0"/>
              <w:spacing w:line="200" w:lineRule="exact"/>
              <w:jc w:val="center"/>
              <w:rPr>
                <w:rFonts w:ascii="Times New Roman" w:hAnsi="Times New Roman" w:cs="Times New Roman"/>
                <w:bCs/>
                <w:kern w:val="0"/>
                <w:sz w:val="17"/>
                <w:szCs w:val="17"/>
              </w:rPr>
            </w:pPr>
          </w:p>
        </w:tc>
        <w:tc>
          <w:tcPr>
            <w:tcW w:w="619" w:type="dxa"/>
            <w:tcBorders>
              <w:tl2br w:val="nil"/>
              <w:tr2bl w:val="nil"/>
            </w:tcBorders>
            <w:shd w:val="clear" w:color="auto" w:fill="auto"/>
            <w:tcMar>
              <w:top w:w="12" w:type="dxa"/>
              <w:left w:w="12" w:type="dxa"/>
              <w:right w:w="12" w:type="dxa"/>
            </w:tcMar>
            <w:vAlign w:val="center"/>
          </w:tcPr>
          <w:p w14:paraId="674269BF">
            <w:pPr>
              <w:adjustRightInd w:val="0"/>
              <w:spacing w:line="200" w:lineRule="exact"/>
              <w:jc w:val="center"/>
              <w:rPr>
                <w:rFonts w:ascii="Times New Roman" w:hAnsi="Times New Roman" w:cs="Times New Roman"/>
                <w:bCs/>
                <w:kern w:val="0"/>
                <w:sz w:val="17"/>
                <w:szCs w:val="17"/>
              </w:rPr>
            </w:pPr>
          </w:p>
        </w:tc>
        <w:tc>
          <w:tcPr>
            <w:tcW w:w="1541" w:type="dxa"/>
            <w:tcBorders>
              <w:tl2br w:val="nil"/>
              <w:tr2bl w:val="nil"/>
            </w:tcBorders>
            <w:shd w:val="clear" w:color="auto" w:fill="auto"/>
            <w:tcMar>
              <w:top w:w="12" w:type="dxa"/>
              <w:left w:w="12" w:type="dxa"/>
              <w:right w:w="12" w:type="dxa"/>
            </w:tcMar>
            <w:vAlign w:val="center"/>
          </w:tcPr>
          <w:p w14:paraId="65A3CF8C">
            <w:pPr>
              <w:adjustRightInd w:val="0"/>
              <w:spacing w:line="200" w:lineRule="exact"/>
              <w:jc w:val="center"/>
              <w:rPr>
                <w:rFonts w:ascii="Times New Roman" w:hAnsi="Times New Roman" w:cs="Times New Roman"/>
                <w:bCs/>
                <w:kern w:val="0"/>
                <w:sz w:val="17"/>
                <w:szCs w:val="17"/>
              </w:rPr>
            </w:pPr>
          </w:p>
        </w:tc>
      </w:tr>
      <w:tr w14:paraId="6E9340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restart"/>
            <w:tcBorders>
              <w:tl2br w:val="nil"/>
              <w:tr2bl w:val="nil"/>
            </w:tcBorders>
            <w:shd w:val="clear" w:color="auto" w:fill="auto"/>
            <w:tcMar>
              <w:top w:w="12" w:type="dxa"/>
              <w:left w:w="12" w:type="dxa"/>
              <w:right w:w="12" w:type="dxa"/>
            </w:tcMar>
            <w:vAlign w:val="center"/>
          </w:tcPr>
          <w:p w14:paraId="661C4DDC">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专业教育</w:t>
            </w:r>
          </w:p>
        </w:tc>
        <w:tc>
          <w:tcPr>
            <w:tcW w:w="519" w:type="dxa"/>
            <w:vMerge w:val="restart"/>
            <w:tcBorders>
              <w:tl2br w:val="nil"/>
              <w:tr2bl w:val="nil"/>
            </w:tcBorders>
            <w:shd w:val="clear" w:color="auto" w:fill="auto"/>
            <w:tcMar>
              <w:top w:w="12" w:type="dxa"/>
              <w:left w:w="12" w:type="dxa"/>
              <w:right w:w="12" w:type="dxa"/>
            </w:tcMar>
            <w:vAlign w:val="center"/>
          </w:tcPr>
          <w:p w14:paraId="33886BBF">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233F27BB">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66036AC9">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课程</w:t>
            </w:r>
          </w:p>
        </w:tc>
        <w:tc>
          <w:tcPr>
            <w:tcW w:w="1221" w:type="dxa"/>
            <w:tcBorders>
              <w:tl2br w:val="nil"/>
              <w:tr2bl w:val="nil"/>
            </w:tcBorders>
            <w:shd w:val="clear" w:color="auto" w:fill="auto"/>
            <w:tcMar>
              <w:top w:w="12" w:type="dxa"/>
              <w:left w:w="12" w:type="dxa"/>
              <w:right w:w="12" w:type="dxa"/>
            </w:tcMar>
            <w:vAlign w:val="center"/>
          </w:tcPr>
          <w:p w14:paraId="3EB4F232">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1223146080</w:t>
            </w:r>
          </w:p>
        </w:tc>
        <w:tc>
          <w:tcPr>
            <w:tcW w:w="2370" w:type="dxa"/>
            <w:tcBorders>
              <w:tl2br w:val="nil"/>
              <w:tr2bl w:val="nil"/>
            </w:tcBorders>
            <w:shd w:val="clear" w:color="auto" w:fill="auto"/>
            <w:noWrap/>
            <w:tcMar>
              <w:top w:w="12" w:type="dxa"/>
              <w:left w:w="12" w:type="dxa"/>
              <w:right w:w="12" w:type="dxa"/>
            </w:tcMar>
            <w:vAlign w:val="center"/>
          </w:tcPr>
          <w:p w14:paraId="2C934E76">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新能源汽车概论</w:t>
            </w:r>
          </w:p>
          <w:p w14:paraId="2483610A">
            <w:pPr>
              <w:adjustRightInd w:val="0"/>
              <w:spacing w:line="200" w:lineRule="exact"/>
              <w:jc w:val="left"/>
              <w:rPr>
                <w:rFonts w:ascii="Times New Roman" w:hAnsi="Times New Roman" w:cs="Times New Roman"/>
                <w:sz w:val="17"/>
                <w:szCs w:val="17"/>
              </w:rPr>
            </w:pPr>
            <w:r>
              <w:rPr>
                <w:rFonts w:ascii="Times New Roman" w:hAnsi="Times New Roman" w:cs="Times New Roman"/>
                <w:bCs/>
                <w:kern w:val="0"/>
                <w:sz w:val="17"/>
                <w:szCs w:val="17"/>
                <w:lang w:bidi="ar"/>
              </w:rPr>
              <w:t>Introduction to New Energy Vehicles</w:t>
            </w:r>
          </w:p>
        </w:tc>
        <w:tc>
          <w:tcPr>
            <w:tcW w:w="579" w:type="dxa"/>
            <w:tcBorders>
              <w:tl2br w:val="nil"/>
              <w:tr2bl w:val="nil"/>
            </w:tcBorders>
            <w:shd w:val="clear" w:color="auto" w:fill="auto"/>
            <w:tcMar>
              <w:top w:w="12" w:type="dxa"/>
              <w:left w:w="12" w:type="dxa"/>
              <w:right w:w="12" w:type="dxa"/>
            </w:tcMar>
            <w:vAlign w:val="center"/>
          </w:tcPr>
          <w:p w14:paraId="612F2C7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71D4ED7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03E41821">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noWrap/>
            <w:tcMar>
              <w:top w:w="12" w:type="dxa"/>
              <w:left w:w="12" w:type="dxa"/>
              <w:right w:w="12" w:type="dxa"/>
            </w:tcMar>
            <w:vAlign w:val="center"/>
          </w:tcPr>
          <w:p w14:paraId="197DE2F3">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58" w:type="dxa"/>
            <w:tcBorders>
              <w:tl2br w:val="nil"/>
              <w:tr2bl w:val="nil"/>
            </w:tcBorders>
            <w:shd w:val="clear" w:color="auto" w:fill="auto"/>
            <w:noWrap/>
            <w:tcMar>
              <w:top w:w="12" w:type="dxa"/>
              <w:left w:w="12" w:type="dxa"/>
              <w:right w:w="12" w:type="dxa"/>
            </w:tcMar>
            <w:vAlign w:val="center"/>
          </w:tcPr>
          <w:p w14:paraId="628A1F12">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noWrap/>
            <w:tcMar>
              <w:top w:w="12" w:type="dxa"/>
              <w:left w:w="12" w:type="dxa"/>
              <w:right w:w="12" w:type="dxa"/>
            </w:tcMar>
            <w:vAlign w:val="center"/>
          </w:tcPr>
          <w:p w14:paraId="2431487D">
            <w:pPr>
              <w:jc w:val="center"/>
              <w:rPr>
                <w:rFonts w:ascii="Times New Roman" w:hAnsi="Times New Roman" w:eastAsia="宋体" w:cs="Times New Roman"/>
                <w:kern w:val="0"/>
                <w:sz w:val="17"/>
                <w:szCs w:val="17"/>
                <w:lang w:bidi="ar"/>
              </w:rPr>
            </w:pPr>
            <w:r>
              <w:rPr>
                <w:rFonts w:hint="eastAsia" w:ascii="Times New Roman" w:hAnsi="Times New Roman" w:eastAsia="宋体" w:cs="Times New Roman"/>
                <w:sz w:val="17"/>
                <w:szCs w:val="17"/>
              </w:rPr>
              <w:t>1</w:t>
            </w:r>
          </w:p>
        </w:tc>
        <w:tc>
          <w:tcPr>
            <w:tcW w:w="1541" w:type="dxa"/>
            <w:tcBorders>
              <w:tl2br w:val="nil"/>
              <w:tr2bl w:val="nil"/>
            </w:tcBorders>
            <w:shd w:val="clear" w:color="auto" w:fill="auto"/>
            <w:noWrap/>
            <w:tcMar>
              <w:top w:w="12" w:type="dxa"/>
              <w:left w:w="12" w:type="dxa"/>
              <w:right w:w="12" w:type="dxa"/>
            </w:tcMar>
            <w:vAlign w:val="center"/>
          </w:tcPr>
          <w:p w14:paraId="075E927B">
            <w:pPr>
              <w:widowControl/>
              <w:jc w:val="center"/>
              <w:textAlignment w:val="center"/>
              <w:rPr>
                <w:rFonts w:ascii="Times New Roman" w:hAnsi="Times New Roman" w:cs="Times New Roman"/>
                <w:bCs/>
                <w:kern w:val="0"/>
                <w:sz w:val="17"/>
                <w:szCs w:val="17"/>
              </w:rPr>
            </w:pPr>
          </w:p>
        </w:tc>
      </w:tr>
      <w:tr w14:paraId="27D817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7CFF3A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DC67CC7">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73990F3F">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1224246009</w:t>
            </w:r>
          </w:p>
        </w:tc>
        <w:tc>
          <w:tcPr>
            <w:tcW w:w="2370" w:type="dxa"/>
            <w:tcBorders>
              <w:tl2br w:val="nil"/>
              <w:tr2bl w:val="nil"/>
            </w:tcBorders>
            <w:shd w:val="clear" w:color="auto" w:fill="auto"/>
            <w:tcMar>
              <w:top w:w="12" w:type="dxa"/>
              <w:left w:w="12" w:type="dxa"/>
              <w:right w:w="12" w:type="dxa"/>
            </w:tcMar>
            <w:vAlign w:val="center"/>
          </w:tcPr>
          <w:p w14:paraId="315DDF36">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汽车电路识图</w:t>
            </w:r>
          </w:p>
          <w:p w14:paraId="796F440E">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Automotive Circuit Diagram Interpretation</w:t>
            </w:r>
          </w:p>
        </w:tc>
        <w:tc>
          <w:tcPr>
            <w:tcW w:w="579" w:type="dxa"/>
            <w:tcBorders>
              <w:tl2br w:val="nil"/>
              <w:tr2bl w:val="nil"/>
            </w:tcBorders>
            <w:shd w:val="clear" w:color="auto" w:fill="auto"/>
            <w:tcMar>
              <w:top w:w="12" w:type="dxa"/>
              <w:left w:w="12" w:type="dxa"/>
              <w:right w:w="12" w:type="dxa"/>
            </w:tcMar>
            <w:vAlign w:val="center"/>
          </w:tcPr>
          <w:p w14:paraId="6DCABD5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26790C4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tcMar>
              <w:top w:w="12" w:type="dxa"/>
              <w:left w:w="12" w:type="dxa"/>
              <w:right w:w="12" w:type="dxa"/>
            </w:tcMar>
            <w:vAlign w:val="center"/>
          </w:tcPr>
          <w:p w14:paraId="34D93850">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4D159C9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2D5EA2BC">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2065E465">
            <w:pPr>
              <w:widowControl/>
              <w:jc w:val="center"/>
              <w:textAlignment w:val="center"/>
              <w:rPr>
                <w:rFonts w:ascii="Times New Roman" w:hAnsi="Times New Roman" w:eastAsia="宋体" w:cs="Times New Roman"/>
                <w:kern w:val="0"/>
                <w:sz w:val="17"/>
                <w:szCs w:val="17"/>
                <w:lang w:bidi="ar"/>
              </w:rPr>
            </w:pPr>
            <w:r>
              <w:rPr>
                <w:rFonts w:hint="eastAsia" w:ascii="Times New Roman" w:hAnsi="Times New Roman" w:eastAsia="宋体" w:cs="Times New Roman"/>
                <w:sz w:val="17"/>
                <w:szCs w:val="17"/>
              </w:rPr>
              <w:t>1</w:t>
            </w:r>
          </w:p>
        </w:tc>
        <w:tc>
          <w:tcPr>
            <w:tcW w:w="1541" w:type="dxa"/>
            <w:tcBorders>
              <w:tl2br w:val="nil"/>
              <w:tr2bl w:val="nil"/>
            </w:tcBorders>
            <w:shd w:val="clear" w:color="auto" w:fill="auto"/>
            <w:tcMar>
              <w:top w:w="12" w:type="dxa"/>
              <w:left w:w="12" w:type="dxa"/>
              <w:right w:w="12" w:type="dxa"/>
            </w:tcMar>
            <w:vAlign w:val="center"/>
          </w:tcPr>
          <w:p w14:paraId="09F41C1C">
            <w:pPr>
              <w:widowControl/>
              <w:jc w:val="center"/>
              <w:textAlignment w:val="center"/>
              <w:rPr>
                <w:rFonts w:ascii="Times New Roman" w:hAnsi="Times New Roman" w:cs="Times New Roman"/>
                <w:bCs/>
                <w:kern w:val="0"/>
                <w:sz w:val="17"/>
                <w:szCs w:val="17"/>
              </w:rPr>
            </w:pPr>
          </w:p>
        </w:tc>
      </w:tr>
      <w:tr w14:paraId="241889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1A68D91">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606D33E">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5606EE2B">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1224246137</w:t>
            </w:r>
          </w:p>
        </w:tc>
        <w:tc>
          <w:tcPr>
            <w:tcW w:w="2370" w:type="dxa"/>
            <w:tcBorders>
              <w:tl2br w:val="nil"/>
              <w:tr2bl w:val="nil"/>
            </w:tcBorders>
            <w:shd w:val="clear" w:color="auto" w:fill="auto"/>
            <w:tcMar>
              <w:top w:w="12" w:type="dxa"/>
              <w:left w:w="12" w:type="dxa"/>
              <w:right w:w="12" w:type="dxa"/>
            </w:tcMar>
            <w:vAlign w:val="center"/>
          </w:tcPr>
          <w:p w14:paraId="59FE840B">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新能源汽车电力电子技术</w:t>
            </w:r>
          </w:p>
          <w:p w14:paraId="5B53A3AA">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Power Electronics Technology for New Energy Vehicles</w:t>
            </w:r>
          </w:p>
        </w:tc>
        <w:tc>
          <w:tcPr>
            <w:tcW w:w="579" w:type="dxa"/>
            <w:tcBorders>
              <w:tl2br w:val="nil"/>
              <w:tr2bl w:val="nil"/>
            </w:tcBorders>
            <w:shd w:val="clear" w:color="auto" w:fill="auto"/>
            <w:tcMar>
              <w:top w:w="12" w:type="dxa"/>
              <w:left w:w="12" w:type="dxa"/>
              <w:right w:w="12" w:type="dxa"/>
            </w:tcMar>
            <w:vAlign w:val="center"/>
          </w:tcPr>
          <w:p w14:paraId="5E1CC69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5A01A6B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tcMar>
              <w:top w:w="12" w:type="dxa"/>
              <w:left w:w="12" w:type="dxa"/>
              <w:right w:w="12" w:type="dxa"/>
            </w:tcMar>
            <w:vAlign w:val="center"/>
          </w:tcPr>
          <w:p w14:paraId="22BC55AA">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40</w:t>
            </w:r>
          </w:p>
        </w:tc>
        <w:tc>
          <w:tcPr>
            <w:tcW w:w="570" w:type="dxa"/>
            <w:tcBorders>
              <w:tl2br w:val="nil"/>
              <w:tr2bl w:val="nil"/>
            </w:tcBorders>
            <w:shd w:val="clear" w:color="auto" w:fill="auto"/>
            <w:tcMar>
              <w:top w:w="12" w:type="dxa"/>
              <w:left w:w="12" w:type="dxa"/>
              <w:right w:w="12" w:type="dxa"/>
            </w:tcMar>
            <w:vAlign w:val="center"/>
          </w:tcPr>
          <w:p w14:paraId="56FAB7D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63ECBF74">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7059C0FA">
            <w:pPr>
              <w:jc w:val="center"/>
              <w:rPr>
                <w:rFonts w:ascii="Times New Roman" w:hAnsi="Times New Roman" w:eastAsia="宋体" w:cs="Times New Roman"/>
                <w:kern w:val="0"/>
                <w:sz w:val="17"/>
                <w:szCs w:val="17"/>
                <w:lang w:bidi="ar"/>
              </w:rPr>
            </w:pPr>
            <w:r>
              <w:rPr>
                <w:rFonts w:hint="eastAsia" w:ascii="Times New Roman" w:hAnsi="Times New Roman" w:eastAsia="宋体" w:cs="Times New Roman"/>
                <w:sz w:val="17"/>
                <w:szCs w:val="17"/>
              </w:rPr>
              <w:t>2</w:t>
            </w:r>
          </w:p>
        </w:tc>
        <w:tc>
          <w:tcPr>
            <w:tcW w:w="1541" w:type="dxa"/>
            <w:tcBorders>
              <w:tl2br w:val="nil"/>
              <w:tr2bl w:val="nil"/>
            </w:tcBorders>
            <w:shd w:val="clear" w:color="auto" w:fill="auto"/>
            <w:tcMar>
              <w:top w:w="12" w:type="dxa"/>
              <w:left w:w="12" w:type="dxa"/>
              <w:right w:w="12" w:type="dxa"/>
            </w:tcMar>
            <w:vAlign w:val="center"/>
          </w:tcPr>
          <w:p w14:paraId="1B33D921">
            <w:pPr>
              <w:widowControl/>
              <w:jc w:val="center"/>
              <w:textAlignment w:val="center"/>
              <w:rPr>
                <w:rFonts w:ascii="Times New Roman" w:hAnsi="Times New Roman" w:cs="Times New Roman"/>
                <w:bCs/>
                <w:kern w:val="0"/>
                <w:sz w:val="17"/>
                <w:szCs w:val="17"/>
              </w:rPr>
            </w:pPr>
          </w:p>
        </w:tc>
      </w:tr>
      <w:tr w14:paraId="5991EF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782CB493">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FA3A7B5">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43CCFDDB">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1224246001</w:t>
            </w:r>
          </w:p>
        </w:tc>
        <w:tc>
          <w:tcPr>
            <w:tcW w:w="2370" w:type="dxa"/>
            <w:tcBorders>
              <w:tl2br w:val="nil"/>
              <w:tr2bl w:val="nil"/>
            </w:tcBorders>
            <w:shd w:val="clear" w:color="auto" w:fill="auto"/>
            <w:tcMar>
              <w:top w:w="12" w:type="dxa"/>
              <w:left w:w="12" w:type="dxa"/>
              <w:right w:w="12" w:type="dxa"/>
            </w:tcMar>
            <w:vAlign w:val="center"/>
          </w:tcPr>
          <w:p w14:paraId="0335A407">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汽车机械制图</w:t>
            </w:r>
          </w:p>
          <w:p w14:paraId="39B39277">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Automotive Mechanical Drawing</w:t>
            </w:r>
          </w:p>
        </w:tc>
        <w:tc>
          <w:tcPr>
            <w:tcW w:w="579" w:type="dxa"/>
            <w:tcBorders>
              <w:tl2br w:val="nil"/>
              <w:tr2bl w:val="nil"/>
            </w:tcBorders>
            <w:shd w:val="clear" w:color="auto" w:fill="auto"/>
            <w:tcMar>
              <w:top w:w="12" w:type="dxa"/>
              <w:left w:w="12" w:type="dxa"/>
              <w:right w:w="12" w:type="dxa"/>
            </w:tcMar>
            <w:vAlign w:val="center"/>
          </w:tcPr>
          <w:p w14:paraId="1FBBB10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0610C82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3C6C09CE">
            <w:pPr>
              <w:widowControl/>
              <w:jc w:val="center"/>
              <w:textAlignment w:val="bottom"/>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70" w:type="dxa"/>
            <w:tcBorders>
              <w:tl2br w:val="nil"/>
              <w:tr2bl w:val="nil"/>
            </w:tcBorders>
            <w:shd w:val="clear" w:color="auto" w:fill="auto"/>
            <w:tcMar>
              <w:top w:w="12" w:type="dxa"/>
              <w:left w:w="12" w:type="dxa"/>
              <w:right w:w="12" w:type="dxa"/>
            </w:tcMar>
            <w:vAlign w:val="center"/>
          </w:tcPr>
          <w:p w14:paraId="66156E04">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573175E4">
            <w:pPr>
              <w:widowControl/>
              <w:jc w:val="center"/>
              <w:textAlignment w:val="center"/>
              <w:rPr>
                <w:rFonts w:ascii="宋体" w:hAnsi="宋体" w:eastAsia="宋体" w:cs="宋体"/>
                <w:color w:val="000000"/>
                <w:kern w:val="0"/>
                <w:sz w:val="17"/>
                <w:szCs w:val="17"/>
                <w:lang w:bidi="ar"/>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9058A17">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1541" w:type="dxa"/>
            <w:tcBorders>
              <w:tl2br w:val="nil"/>
              <w:tr2bl w:val="nil"/>
            </w:tcBorders>
            <w:shd w:val="clear" w:color="auto" w:fill="auto"/>
            <w:tcMar>
              <w:top w:w="12" w:type="dxa"/>
              <w:left w:w="12" w:type="dxa"/>
              <w:right w:w="12" w:type="dxa"/>
            </w:tcMar>
            <w:vAlign w:val="center"/>
          </w:tcPr>
          <w:p w14:paraId="7F3098DB">
            <w:pPr>
              <w:widowControl/>
              <w:jc w:val="center"/>
              <w:textAlignment w:val="center"/>
              <w:rPr>
                <w:rFonts w:ascii="Times New Roman" w:hAnsi="Times New Roman" w:eastAsia="宋体" w:cs="Times New Roman"/>
                <w:kern w:val="0"/>
                <w:sz w:val="17"/>
                <w:szCs w:val="17"/>
                <w:lang w:bidi="ar"/>
              </w:rPr>
            </w:pPr>
          </w:p>
        </w:tc>
      </w:tr>
      <w:tr w14:paraId="7EF392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CC99861">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53A31CF">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FFFFFF"/>
            <w:tcMar>
              <w:top w:w="12" w:type="dxa"/>
              <w:left w:w="12" w:type="dxa"/>
              <w:right w:w="12" w:type="dxa"/>
            </w:tcMar>
            <w:vAlign w:val="center"/>
          </w:tcPr>
          <w:p w14:paraId="1757414E">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1224246002</w:t>
            </w:r>
          </w:p>
        </w:tc>
        <w:tc>
          <w:tcPr>
            <w:tcW w:w="2370" w:type="dxa"/>
            <w:tcBorders>
              <w:tl2br w:val="nil"/>
              <w:tr2bl w:val="nil"/>
            </w:tcBorders>
            <w:shd w:val="clear" w:color="auto" w:fill="auto"/>
            <w:tcMar>
              <w:top w:w="12" w:type="dxa"/>
              <w:left w:w="12" w:type="dxa"/>
              <w:right w:w="12" w:type="dxa"/>
            </w:tcMar>
            <w:vAlign w:val="center"/>
          </w:tcPr>
          <w:p w14:paraId="30C85EE5">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汽车机械基础</w:t>
            </w:r>
          </w:p>
          <w:p w14:paraId="0DB388DB">
            <w:pPr>
              <w:adjustRightInd w:val="0"/>
              <w:spacing w:line="200" w:lineRule="exact"/>
              <w:jc w:val="left"/>
              <w:rPr>
                <w:rFonts w:ascii="Times New Roman" w:hAnsi="Times New Roman" w:cs="Times New Roman"/>
                <w:sz w:val="17"/>
                <w:szCs w:val="17"/>
              </w:rPr>
            </w:pPr>
            <w:r>
              <w:rPr>
                <w:rFonts w:ascii="Times New Roman" w:hAnsi="Times New Roman" w:cs="Times New Roman"/>
                <w:bCs/>
                <w:kern w:val="0"/>
                <w:sz w:val="17"/>
                <w:szCs w:val="17"/>
                <w:lang w:bidi="ar"/>
              </w:rPr>
              <w:t>Fundamentals of Automobile Machinery</w:t>
            </w:r>
          </w:p>
        </w:tc>
        <w:tc>
          <w:tcPr>
            <w:tcW w:w="579" w:type="dxa"/>
            <w:tcBorders>
              <w:tl2br w:val="nil"/>
              <w:tr2bl w:val="nil"/>
            </w:tcBorders>
            <w:shd w:val="clear" w:color="auto" w:fill="auto"/>
            <w:tcMar>
              <w:top w:w="12" w:type="dxa"/>
              <w:left w:w="12" w:type="dxa"/>
              <w:right w:w="12" w:type="dxa"/>
            </w:tcMar>
            <w:vAlign w:val="center"/>
          </w:tcPr>
          <w:p w14:paraId="3F8EFCA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2.5</w:t>
            </w:r>
          </w:p>
        </w:tc>
        <w:tc>
          <w:tcPr>
            <w:tcW w:w="469" w:type="dxa"/>
            <w:tcBorders>
              <w:tl2br w:val="nil"/>
              <w:tr2bl w:val="nil"/>
            </w:tcBorders>
            <w:shd w:val="clear" w:color="auto" w:fill="auto"/>
            <w:tcMar>
              <w:top w:w="12" w:type="dxa"/>
              <w:left w:w="12" w:type="dxa"/>
              <w:right w:w="12" w:type="dxa"/>
            </w:tcMar>
            <w:vAlign w:val="center"/>
          </w:tcPr>
          <w:p w14:paraId="2AC558D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40</w:t>
            </w:r>
          </w:p>
        </w:tc>
        <w:tc>
          <w:tcPr>
            <w:tcW w:w="540" w:type="dxa"/>
            <w:tcBorders>
              <w:tl2br w:val="nil"/>
              <w:tr2bl w:val="nil"/>
            </w:tcBorders>
            <w:shd w:val="clear" w:color="auto" w:fill="auto"/>
            <w:tcMar>
              <w:top w:w="12" w:type="dxa"/>
              <w:left w:w="12" w:type="dxa"/>
              <w:right w:w="12" w:type="dxa"/>
            </w:tcMar>
            <w:vAlign w:val="center"/>
          </w:tcPr>
          <w:p w14:paraId="3AC9192F">
            <w:pPr>
              <w:widowControl/>
              <w:jc w:val="center"/>
              <w:textAlignment w:val="bottom"/>
              <w:rPr>
                <w:rFonts w:ascii="Times New Roman" w:hAnsi="Times New Roman" w:eastAsia="宋体" w:cs="Times New Roman"/>
                <w:sz w:val="17"/>
                <w:szCs w:val="17"/>
              </w:rPr>
            </w:pPr>
            <w:r>
              <w:rPr>
                <w:rFonts w:hint="eastAsia" w:ascii="Times New Roman" w:hAnsi="Times New Roman" w:eastAsia="宋体" w:cs="Times New Roman"/>
                <w:sz w:val="17"/>
                <w:szCs w:val="17"/>
              </w:rPr>
              <w:t>34</w:t>
            </w:r>
          </w:p>
        </w:tc>
        <w:tc>
          <w:tcPr>
            <w:tcW w:w="570" w:type="dxa"/>
            <w:tcBorders>
              <w:tl2br w:val="nil"/>
              <w:tr2bl w:val="nil"/>
            </w:tcBorders>
            <w:shd w:val="clear" w:color="auto" w:fill="auto"/>
            <w:tcMar>
              <w:top w:w="12" w:type="dxa"/>
              <w:left w:w="12" w:type="dxa"/>
              <w:right w:w="12" w:type="dxa"/>
            </w:tcMar>
            <w:vAlign w:val="center"/>
          </w:tcPr>
          <w:p w14:paraId="54AA8966">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6</w:t>
            </w:r>
          </w:p>
        </w:tc>
        <w:tc>
          <w:tcPr>
            <w:tcW w:w="558" w:type="dxa"/>
            <w:tcBorders>
              <w:tl2br w:val="nil"/>
              <w:tr2bl w:val="nil"/>
            </w:tcBorders>
            <w:shd w:val="clear" w:color="auto" w:fill="auto"/>
            <w:tcMar>
              <w:top w:w="12" w:type="dxa"/>
              <w:left w:w="12" w:type="dxa"/>
              <w:right w:w="12" w:type="dxa"/>
            </w:tcMar>
            <w:vAlign w:val="center"/>
          </w:tcPr>
          <w:p w14:paraId="3B71BD3E">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37B143BE">
            <w:pPr>
              <w:jc w:val="center"/>
              <w:rPr>
                <w:rFonts w:ascii="Times New Roman" w:hAnsi="Times New Roman" w:eastAsia="宋体" w:cs="Times New Roman"/>
                <w:kern w:val="0"/>
                <w:sz w:val="17"/>
                <w:szCs w:val="17"/>
                <w:lang w:bidi="ar"/>
              </w:rPr>
            </w:pPr>
            <w:r>
              <w:rPr>
                <w:rFonts w:hint="eastAsia" w:ascii="Times New Roman" w:hAnsi="Times New Roman" w:eastAsia="宋体" w:cs="Times New Roman"/>
                <w:sz w:val="17"/>
                <w:szCs w:val="17"/>
              </w:rPr>
              <w:t>2</w:t>
            </w:r>
          </w:p>
        </w:tc>
        <w:tc>
          <w:tcPr>
            <w:tcW w:w="1541" w:type="dxa"/>
            <w:tcBorders>
              <w:tl2br w:val="nil"/>
              <w:tr2bl w:val="nil"/>
            </w:tcBorders>
            <w:shd w:val="clear" w:color="auto" w:fill="auto"/>
            <w:tcMar>
              <w:top w:w="12" w:type="dxa"/>
              <w:left w:w="12" w:type="dxa"/>
              <w:right w:w="12" w:type="dxa"/>
            </w:tcMar>
            <w:vAlign w:val="center"/>
          </w:tcPr>
          <w:p w14:paraId="30A8A0A5">
            <w:pPr>
              <w:widowControl/>
              <w:jc w:val="center"/>
              <w:textAlignment w:val="center"/>
              <w:rPr>
                <w:rFonts w:ascii="Times New Roman" w:hAnsi="Times New Roman" w:cs="Times New Roman"/>
                <w:bCs/>
                <w:kern w:val="0"/>
                <w:sz w:val="17"/>
                <w:szCs w:val="17"/>
              </w:rPr>
            </w:pPr>
          </w:p>
        </w:tc>
      </w:tr>
      <w:tr w14:paraId="16B711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8C8CF04">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63B5B3E">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172089CA">
            <w:pPr>
              <w:widowControl/>
              <w:jc w:val="center"/>
              <w:textAlignment w:val="center"/>
              <w:rPr>
                <w:rFonts w:ascii="Times New Roman" w:hAnsi="Times New Roman" w:cs="Times New Roman"/>
                <w:sz w:val="17"/>
                <w:szCs w:val="17"/>
              </w:rPr>
            </w:pPr>
            <w:r>
              <w:rPr>
                <w:rFonts w:ascii="Times New Roman" w:hAnsi="Times New Roman" w:cs="Times New Roman"/>
                <w:sz w:val="17"/>
                <w:szCs w:val="17"/>
              </w:rPr>
              <w:t>2023252011</w:t>
            </w:r>
          </w:p>
        </w:tc>
        <w:tc>
          <w:tcPr>
            <w:tcW w:w="2370" w:type="dxa"/>
            <w:tcBorders>
              <w:tl2br w:val="nil"/>
              <w:tr2bl w:val="nil"/>
            </w:tcBorders>
            <w:shd w:val="clear" w:color="auto" w:fill="auto"/>
            <w:noWrap/>
            <w:tcMar>
              <w:top w:w="12" w:type="dxa"/>
              <w:left w:w="12" w:type="dxa"/>
              <w:right w:w="12" w:type="dxa"/>
            </w:tcMar>
            <w:vAlign w:val="center"/>
          </w:tcPr>
          <w:p w14:paraId="7F269327">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C语言程序设计</w:t>
            </w:r>
          </w:p>
          <w:p w14:paraId="6A4536E7">
            <w:pPr>
              <w:adjustRightInd w:val="0"/>
              <w:spacing w:line="200" w:lineRule="exact"/>
              <w:jc w:val="left"/>
              <w:rPr>
                <w:rFonts w:ascii="Times New Roman" w:hAnsi="Times New Roman" w:cs="Times New Roman"/>
                <w:sz w:val="17"/>
                <w:szCs w:val="17"/>
              </w:rPr>
            </w:pPr>
            <w:r>
              <w:rPr>
                <w:rFonts w:ascii="Times New Roman" w:hAnsi="Times New Roman" w:cs="Times New Roman"/>
                <w:bCs/>
                <w:kern w:val="0"/>
                <w:sz w:val="17"/>
                <w:szCs w:val="17"/>
                <w:lang w:bidi="ar"/>
              </w:rPr>
              <w:t>C Language Programming</w:t>
            </w:r>
          </w:p>
        </w:tc>
        <w:tc>
          <w:tcPr>
            <w:tcW w:w="579" w:type="dxa"/>
            <w:tcBorders>
              <w:tl2br w:val="nil"/>
              <w:tr2bl w:val="nil"/>
            </w:tcBorders>
            <w:shd w:val="clear" w:color="auto" w:fill="auto"/>
            <w:tcMar>
              <w:top w:w="12" w:type="dxa"/>
              <w:left w:w="12" w:type="dxa"/>
              <w:right w:w="12" w:type="dxa"/>
            </w:tcMar>
            <w:vAlign w:val="center"/>
          </w:tcPr>
          <w:p w14:paraId="68AF1A5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0E6E6EA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tcMar>
              <w:top w:w="12" w:type="dxa"/>
              <w:left w:w="12" w:type="dxa"/>
              <w:right w:w="12" w:type="dxa"/>
            </w:tcMar>
            <w:vAlign w:val="center"/>
          </w:tcPr>
          <w:p w14:paraId="3D43486F">
            <w:pPr>
              <w:widowControl/>
              <w:jc w:val="center"/>
              <w:textAlignment w:val="bottom"/>
              <w:rPr>
                <w:rFonts w:ascii="Times New Roman" w:hAnsi="Times New Roman" w:eastAsia="宋体" w:cs="Times New Roman"/>
                <w:sz w:val="17"/>
                <w:szCs w:val="17"/>
              </w:rPr>
            </w:pPr>
            <w:r>
              <w:rPr>
                <w:rFonts w:hint="eastAsia" w:ascii="Times New Roman" w:hAnsi="Times New Roman" w:eastAsia="宋体" w:cs="Times New Roman"/>
                <w:sz w:val="17"/>
                <w:szCs w:val="17"/>
              </w:rPr>
              <w:t>38</w:t>
            </w:r>
          </w:p>
        </w:tc>
        <w:tc>
          <w:tcPr>
            <w:tcW w:w="570" w:type="dxa"/>
            <w:tcBorders>
              <w:tl2br w:val="nil"/>
              <w:tr2bl w:val="nil"/>
            </w:tcBorders>
            <w:shd w:val="clear" w:color="auto" w:fill="auto"/>
            <w:tcMar>
              <w:top w:w="12" w:type="dxa"/>
              <w:left w:w="12" w:type="dxa"/>
              <w:right w:w="12" w:type="dxa"/>
            </w:tcMar>
            <w:vAlign w:val="center"/>
          </w:tcPr>
          <w:p w14:paraId="7A3478AE">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10</w:t>
            </w:r>
          </w:p>
        </w:tc>
        <w:tc>
          <w:tcPr>
            <w:tcW w:w="558" w:type="dxa"/>
            <w:tcBorders>
              <w:tl2br w:val="nil"/>
              <w:tr2bl w:val="nil"/>
            </w:tcBorders>
            <w:shd w:val="clear" w:color="auto" w:fill="auto"/>
            <w:tcMar>
              <w:top w:w="12" w:type="dxa"/>
              <w:left w:w="12" w:type="dxa"/>
              <w:right w:w="12" w:type="dxa"/>
            </w:tcMar>
            <w:vAlign w:val="center"/>
          </w:tcPr>
          <w:p w14:paraId="7F2C6436">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327AE2BE">
            <w:pPr>
              <w:jc w:val="center"/>
              <w:rPr>
                <w:rFonts w:ascii="仿宋_GB2312"/>
                <w:sz w:val="17"/>
                <w:szCs w:val="17"/>
              </w:rPr>
            </w:pPr>
            <w:r>
              <w:rPr>
                <w:rFonts w:hint="eastAsia" w:ascii="Times New Roman" w:hAnsi="Times New Roman" w:eastAsia="宋体" w:cs="Times New Roman"/>
                <w:sz w:val="17"/>
                <w:szCs w:val="17"/>
              </w:rPr>
              <w:t>2</w:t>
            </w:r>
          </w:p>
        </w:tc>
        <w:tc>
          <w:tcPr>
            <w:tcW w:w="1541" w:type="dxa"/>
            <w:tcBorders>
              <w:tl2br w:val="nil"/>
              <w:tr2bl w:val="nil"/>
            </w:tcBorders>
            <w:shd w:val="clear" w:color="auto" w:fill="auto"/>
            <w:tcMar>
              <w:top w:w="12" w:type="dxa"/>
              <w:left w:w="12" w:type="dxa"/>
              <w:right w:w="12" w:type="dxa"/>
            </w:tcMar>
            <w:vAlign w:val="center"/>
          </w:tcPr>
          <w:p w14:paraId="734E6E6F">
            <w:pPr>
              <w:widowControl/>
              <w:jc w:val="center"/>
              <w:textAlignment w:val="center"/>
              <w:rPr>
                <w:rFonts w:ascii="Times New Roman" w:hAnsi="Times New Roman" w:cs="Times New Roman"/>
                <w:bCs/>
                <w:kern w:val="0"/>
                <w:sz w:val="17"/>
                <w:szCs w:val="17"/>
              </w:rPr>
            </w:pPr>
          </w:p>
        </w:tc>
      </w:tr>
      <w:tr w14:paraId="0C28CA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D4F0DFD">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F15A7B8">
            <w:pPr>
              <w:adjustRightInd w:val="0"/>
              <w:spacing w:line="200" w:lineRule="exact"/>
              <w:jc w:val="center"/>
              <w:rPr>
                <w:rFonts w:ascii="Times New Roman" w:hAnsi="Times New Roman" w:cs="Times New Roman"/>
                <w:bCs/>
                <w:kern w:val="0"/>
                <w:sz w:val="17"/>
                <w:szCs w:val="17"/>
              </w:rPr>
            </w:pPr>
          </w:p>
        </w:tc>
        <w:tc>
          <w:tcPr>
            <w:tcW w:w="3591" w:type="dxa"/>
            <w:gridSpan w:val="2"/>
            <w:tcBorders>
              <w:tl2br w:val="nil"/>
              <w:tr2bl w:val="nil"/>
            </w:tcBorders>
            <w:shd w:val="clear" w:color="auto" w:fill="auto"/>
            <w:tcMar>
              <w:top w:w="12" w:type="dxa"/>
              <w:left w:w="12" w:type="dxa"/>
              <w:right w:w="12" w:type="dxa"/>
            </w:tcMar>
            <w:vAlign w:val="center"/>
          </w:tcPr>
          <w:p w14:paraId="2A4C2A61">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579" w:type="dxa"/>
            <w:tcBorders>
              <w:tl2br w:val="nil"/>
              <w:tr2bl w:val="nil"/>
            </w:tcBorders>
            <w:shd w:val="clear" w:color="auto" w:fill="auto"/>
            <w:tcMar>
              <w:top w:w="12" w:type="dxa"/>
              <w:left w:w="12" w:type="dxa"/>
              <w:right w:w="12" w:type="dxa"/>
            </w:tcMar>
            <w:vAlign w:val="center"/>
          </w:tcPr>
          <w:p w14:paraId="40BA7E52">
            <w:pPr>
              <w:adjustRightInd w:val="0"/>
              <w:spacing w:line="200" w:lineRule="exact"/>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15.5</w:t>
            </w:r>
          </w:p>
        </w:tc>
        <w:tc>
          <w:tcPr>
            <w:tcW w:w="469" w:type="dxa"/>
            <w:tcBorders>
              <w:tl2br w:val="nil"/>
              <w:tr2bl w:val="nil"/>
            </w:tcBorders>
            <w:shd w:val="clear" w:color="auto" w:fill="auto"/>
            <w:tcMar>
              <w:top w:w="12" w:type="dxa"/>
              <w:left w:w="12" w:type="dxa"/>
              <w:right w:w="12" w:type="dxa"/>
            </w:tcMar>
            <w:vAlign w:val="center"/>
          </w:tcPr>
          <w:p w14:paraId="041D9616">
            <w:pPr>
              <w:adjustRightInd w:val="0"/>
              <w:spacing w:line="200" w:lineRule="exact"/>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248</w:t>
            </w:r>
          </w:p>
        </w:tc>
        <w:tc>
          <w:tcPr>
            <w:tcW w:w="540" w:type="dxa"/>
            <w:tcBorders>
              <w:tl2br w:val="nil"/>
              <w:tr2bl w:val="nil"/>
            </w:tcBorders>
            <w:shd w:val="clear" w:color="auto" w:fill="auto"/>
            <w:tcMar>
              <w:top w:w="12" w:type="dxa"/>
              <w:left w:w="12" w:type="dxa"/>
              <w:right w:w="12" w:type="dxa"/>
            </w:tcMar>
            <w:vAlign w:val="center"/>
          </w:tcPr>
          <w:p w14:paraId="4F13F5C6">
            <w:pPr>
              <w:adjustRightInd w:val="0"/>
              <w:spacing w:line="200" w:lineRule="exact"/>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192</w:t>
            </w:r>
          </w:p>
        </w:tc>
        <w:tc>
          <w:tcPr>
            <w:tcW w:w="570" w:type="dxa"/>
            <w:tcBorders>
              <w:tl2br w:val="nil"/>
              <w:tr2bl w:val="nil"/>
            </w:tcBorders>
            <w:shd w:val="clear" w:color="auto" w:fill="auto"/>
            <w:tcMar>
              <w:top w:w="12" w:type="dxa"/>
              <w:left w:w="12" w:type="dxa"/>
              <w:right w:w="12" w:type="dxa"/>
            </w:tcMar>
            <w:vAlign w:val="center"/>
          </w:tcPr>
          <w:p w14:paraId="16B27BAA">
            <w:pPr>
              <w:adjustRightInd w:val="0"/>
              <w:spacing w:line="200" w:lineRule="exact"/>
              <w:jc w:val="center"/>
              <w:rPr>
                <w:rFonts w:ascii="Times New Roman" w:hAnsi="Times New Roman" w:cs="Times New Roman"/>
                <w:b/>
                <w:kern w:val="0"/>
                <w:sz w:val="17"/>
                <w:szCs w:val="17"/>
              </w:rPr>
            </w:pPr>
            <w:r>
              <w:rPr>
                <w:rFonts w:hint="eastAsia" w:ascii="Times New Roman" w:hAnsi="Times New Roman" w:cs="Times New Roman"/>
                <w:b/>
                <w:kern w:val="0"/>
                <w:sz w:val="17"/>
                <w:szCs w:val="17"/>
              </w:rPr>
              <w:t>56</w:t>
            </w:r>
          </w:p>
        </w:tc>
        <w:tc>
          <w:tcPr>
            <w:tcW w:w="558" w:type="dxa"/>
            <w:tcBorders>
              <w:tl2br w:val="nil"/>
              <w:tr2bl w:val="nil"/>
            </w:tcBorders>
            <w:shd w:val="clear" w:color="auto" w:fill="auto"/>
            <w:tcMar>
              <w:top w:w="12" w:type="dxa"/>
              <w:left w:w="12" w:type="dxa"/>
              <w:right w:w="12" w:type="dxa"/>
            </w:tcMar>
            <w:vAlign w:val="center"/>
          </w:tcPr>
          <w:p w14:paraId="37027D77">
            <w:pPr>
              <w:jc w:val="center"/>
              <w:rPr>
                <w:rFonts w:ascii="Times New Roman" w:hAnsi="Times New Roman" w:cs="Times New Roman"/>
                <w:bCs/>
                <w:kern w:val="0"/>
                <w:sz w:val="17"/>
                <w:szCs w:val="17"/>
              </w:rPr>
            </w:pPr>
          </w:p>
        </w:tc>
        <w:tc>
          <w:tcPr>
            <w:tcW w:w="619" w:type="dxa"/>
            <w:tcBorders>
              <w:tl2br w:val="nil"/>
              <w:tr2bl w:val="nil"/>
            </w:tcBorders>
            <w:shd w:val="clear" w:color="auto" w:fill="auto"/>
            <w:tcMar>
              <w:top w:w="12" w:type="dxa"/>
              <w:left w:w="12" w:type="dxa"/>
              <w:right w:w="12" w:type="dxa"/>
            </w:tcMar>
            <w:vAlign w:val="center"/>
          </w:tcPr>
          <w:p w14:paraId="73773104">
            <w:pPr>
              <w:adjustRightInd w:val="0"/>
              <w:spacing w:line="200" w:lineRule="exact"/>
              <w:jc w:val="center"/>
              <w:rPr>
                <w:rFonts w:ascii="Times New Roman" w:hAnsi="Times New Roman" w:cs="Times New Roman"/>
                <w:bCs/>
                <w:kern w:val="0"/>
                <w:sz w:val="17"/>
                <w:szCs w:val="17"/>
              </w:rPr>
            </w:pPr>
          </w:p>
        </w:tc>
        <w:tc>
          <w:tcPr>
            <w:tcW w:w="1541" w:type="dxa"/>
            <w:tcBorders>
              <w:tl2br w:val="nil"/>
              <w:tr2bl w:val="nil"/>
            </w:tcBorders>
            <w:shd w:val="clear" w:color="auto" w:fill="auto"/>
            <w:tcMar>
              <w:top w:w="12" w:type="dxa"/>
              <w:left w:w="12" w:type="dxa"/>
              <w:right w:w="12" w:type="dxa"/>
            </w:tcMar>
            <w:vAlign w:val="center"/>
          </w:tcPr>
          <w:p w14:paraId="5CA839DB">
            <w:pPr>
              <w:adjustRightInd w:val="0"/>
              <w:spacing w:line="200" w:lineRule="exact"/>
              <w:jc w:val="center"/>
              <w:rPr>
                <w:rFonts w:ascii="Times New Roman" w:hAnsi="Times New Roman" w:cs="Times New Roman"/>
                <w:bCs/>
                <w:kern w:val="0"/>
                <w:sz w:val="17"/>
                <w:szCs w:val="17"/>
              </w:rPr>
            </w:pPr>
          </w:p>
        </w:tc>
      </w:tr>
      <w:tr w14:paraId="6DCC74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F736C21">
            <w:pPr>
              <w:adjustRightInd w:val="0"/>
              <w:spacing w:line="200" w:lineRule="exact"/>
              <w:jc w:val="center"/>
              <w:rPr>
                <w:rFonts w:ascii="Times New Roman" w:hAnsi="Times New Roman" w:cs="Times New Roman"/>
                <w:bCs/>
                <w:kern w:val="0"/>
                <w:sz w:val="17"/>
                <w:szCs w:val="17"/>
              </w:rPr>
            </w:pPr>
          </w:p>
        </w:tc>
        <w:tc>
          <w:tcPr>
            <w:tcW w:w="519" w:type="dxa"/>
            <w:vMerge w:val="restart"/>
            <w:tcBorders>
              <w:tl2br w:val="nil"/>
              <w:tr2bl w:val="nil"/>
            </w:tcBorders>
            <w:shd w:val="clear" w:color="auto" w:fill="auto"/>
            <w:tcMar>
              <w:top w:w="12" w:type="dxa"/>
              <w:left w:w="12" w:type="dxa"/>
              <w:right w:w="12" w:type="dxa"/>
            </w:tcMar>
            <w:vAlign w:val="center"/>
          </w:tcPr>
          <w:p w14:paraId="17E5E886">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75CB9A71">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p w14:paraId="605CD7FA">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1221" w:type="dxa"/>
            <w:tcBorders>
              <w:tl2br w:val="nil"/>
              <w:tr2bl w:val="nil"/>
            </w:tcBorders>
            <w:shd w:val="clear" w:color="auto" w:fill="auto"/>
            <w:tcMar>
              <w:top w:w="12" w:type="dxa"/>
              <w:left w:w="12" w:type="dxa"/>
              <w:right w:w="12" w:type="dxa"/>
            </w:tcMar>
            <w:vAlign w:val="center"/>
          </w:tcPr>
          <w:p w14:paraId="2FB6CCDF">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1224246040</w:t>
            </w:r>
          </w:p>
        </w:tc>
        <w:tc>
          <w:tcPr>
            <w:tcW w:w="2370" w:type="dxa"/>
            <w:tcBorders>
              <w:tl2br w:val="nil"/>
              <w:tr2bl w:val="nil"/>
            </w:tcBorders>
            <w:shd w:val="clear" w:color="auto" w:fill="auto"/>
            <w:tcMar>
              <w:top w:w="12" w:type="dxa"/>
              <w:left w:w="12" w:type="dxa"/>
              <w:right w:w="12" w:type="dxa"/>
            </w:tcMar>
            <w:vAlign w:val="center"/>
          </w:tcPr>
          <w:p w14:paraId="046695C1">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新能源汽车底盘技术及检修</w:t>
            </w:r>
          </w:p>
          <w:p w14:paraId="42485D5D">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Chassis Technology and Maintenance of New Energy Vehicles</w:t>
            </w:r>
          </w:p>
        </w:tc>
        <w:tc>
          <w:tcPr>
            <w:tcW w:w="579" w:type="dxa"/>
            <w:tcBorders>
              <w:tl2br w:val="nil"/>
              <w:tr2bl w:val="nil"/>
            </w:tcBorders>
            <w:shd w:val="clear" w:color="auto" w:fill="auto"/>
            <w:tcMar>
              <w:top w:w="12" w:type="dxa"/>
              <w:left w:w="12" w:type="dxa"/>
              <w:right w:w="12" w:type="dxa"/>
            </w:tcMar>
            <w:vAlign w:val="center"/>
          </w:tcPr>
          <w:p w14:paraId="5C0C10D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608D3AF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tcMar>
              <w:top w:w="12" w:type="dxa"/>
              <w:left w:w="12" w:type="dxa"/>
              <w:right w:w="12" w:type="dxa"/>
            </w:tcMar>
            <w:vAlign w:val="center"/>
          </w:tcPr>
          <w:p w14:paraId="213F2F7E">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6A5728C1">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488F0756">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1A8F746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tcPr>
          <w:p w14:paraId="252B43A7">
            <w:pPr>
              <w:widowControl/>
              <w:jc w:val="center"/>
              <w:textAlignment w:val="center"/>
              <w:rPr>
                <w:rFonts w:ascii="Times New Roman" w:hAnsi="Times New Roman" w:cs="Times New Roman"/>
                <w:bCs/>
                <w:kern w:val="0"/>
                <w:sz w:val="17"/>
                <w:szCs w:val="17"/>
              </w:rPr>
            </w:pPr>
          </w:p>
        </w:tc>
      </w:tr>
      <w:tr w14:paraId="6C0C1B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A6C0A02">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05B6C59">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30176B71">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1224246038</w:t>
            </w:r>
          </w:p>
        </w:tc>
        <w:tc>
          <w:tcPr>
            <w:tcW w:w="2370" w:type="dxa"/>
            <w:tcBorders>
              <w:tl2br w:val="nil"/>
              <w:tr2bl w:val="nil"/>
            </w:tcBorders>
            <w:shd w:val="clear" w:color="auto" w:fill="auto"/>
            <w:tcMar>
              <w:top w:w="12" w:type="dxa"/>
              <w:left w:w="12" w:type="dxa"/>
              <w:right w:w="12" w:type="dxa"/>
            </w:tcMar>
            <w:vAlign w:val="center"/>
          </w:tcPr>
          <w:p w14:paraId="50627A04">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汽车电子控制原理与技术应用</w:t>
            </w:r>
          </w:p>
          <w:p w14:paraId="3ED6693F">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rinciples and Technical Application of Automotive Electronic Control</w:t>
            </w:r>
          </w:p>
        </w:tc>
        <w:tc>
          <w:tcPr>
            <w:tcW w:w="579" w:type="dxa"/>
            <w:tcBorders>
              <w:tl2br w:val="nil"/>
              <w:tr2bl w:val="nil"/>
            </w:tcBorders>
            <w:shd w:val="clear" w:color="auto" w:fill="auto"/>
            <w:tcMar>
              <w:top w:w="12" w:type="dxa"/>
              <w:left w:w="12" w:type="dxa"/>
              <w:right w:w="12" w:type="dxa"/>
            </w:tcMar>
            <w:vAlign w:val="center"/>
          </w:tcPr>
          <w:p w14:paraId="5B127A7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7633B5C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noWrap/>
            <w:tcMar>
              <w:top w:w="12" w:type="dxa"/>
              <w:left w:w="12" w:type="dxa"/>
              <w:right w:w="12" w:type="dxa"/>
            </w:tcMar>
            <w:vAlign w:val="center"/>
          </w:tcPr>
          <w:p w14:paraId="7225780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730BA661">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5FB7E026">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532CF0E0">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tcPr>
          <w:p w14:paraId="02415B59">
            <w:pPr>
              <w:widowControl/>
              <w:jc w:val="center"/>
              <w:textAlignment w:val="center"/>
              <w:rPr>
                <w:rFonts w:ascii="Times New Roman" w:hAnsi="Times New Roman" w:cs="Times New Roman"/>
                <w:bCs/>
                <w:kern w:val="0"/>
                <w:sz w:val="17"/>
                <w:szCs w:val="17"/>
              </w:rPr>
            </w:pPr>
          </w:p>
        </w:tc>
      </w:tr>
      <w:tr w14:paraId="0EC685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8FD23A9">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C164D8F">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3FA211CA">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1224246081</w:t>
            </w:r>
          </w:p>
        </w:tc>
        <w:tc>
          <w:tcPr>
            <w:tcW w:w="2370" w:type="dxa"/>
            <w:tcBorders>
              <w:tl2br w:val="nil"/>
              <w:tr2bl w:val="nil"/>
            </w:tcBorders>
            <w:shd w:val="clear" w:color="auto" w:fill="auto"/>
            <w:tcMar>
              <w:top w:w="12" w:type="dxa"/>
              <w:left w:w="12" w:type="dxa"/>
              <w:right w:w="12" w:type="dxa"/>
            </w:tcMar>
            <w:vAlign w:val="center"/>
          </w:tcPr>
          <w:p w14:paraId="756206BA">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驱动电机系统检测与维修</w:t>
            </w:r>
          </w:p>
          <w:p w14:paraId="33BBE818">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Detection and Maintenance of Drive Motor Systems</w:t>
            </w:r>
          </w:p>
        </w:tc>
        <w:tc>
          <w:tcPr>
            <w:tcW w:w="579" w:type="dxa"/>
            <w:tcBorders>
              <w:tl2br w:val="nil"/>
              <w:tr2bl w:val="nil"/>
            </w:tcBorders>
            <w:shd w:val="clear" w:color="auto" w:fill="auto"/>
            <w:tcMar>
              <w:top w:w="12" w:type="dxa"/>
              <w:left w:w="12" w:type="dxa"/>
              <w:right w:w="12" w:type="dxa"/>
            </w:tcMar>
            <w:vAlign w:val="center"/>
          </w:tcPr>
          <w:p w14:paraId="42D1165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6F4BBA7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noWrap/>
            <w:tcMar>
              <w:top w:w="12" w:type="dxa"/>
              <w:left w:w="12" w:type="dxa"/>
              <w:right w:w="12" w:type="dxa"/>
            </w:tcMar>
            <w:vAlign w:val="center"/>
          </w:tcPr>
          <w:p w14:paraId="525C9ECA">
            <w:pPr>
              <w:widowControl/>
              <w:jc w:val="center"/>
              <w:textAlignment w:val="bottom"/>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7B99E756">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50A51C11">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0F5704AF">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10E138D7">
            <w:pPr>
              <w:widowControl/>
              <w:jc w:val="center"/>
              <w:textAlignment w:val="center"/>
              <w:rPr>
                <w:rFonts w:ascii="Times New Roman" w:hAnsi="Times New Roman" w:cs="Times New Roman"/>
                <w:bCs/>
                <w:kern w:val="0"/>
                <w:sz w:val="17"/>
                <w:szCs w:val="17"/>
              </w:rPr>
            </w:pPr>
          </w:p>
        </w:tc>
      </w:tr>
      <w:tr w14:paraId="278B7C5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00521A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4E0B031">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711F73E">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1224246043</w:t>
            </w:r>
          </w:p>
        </w:tc>
        <w:tc>
          <w:tcPr>
            <w:tcW w:w="2370" w:type="dxa"/>
            <w:tcBorders>
              <w:tl2br w:val="nil"/>
              <w:tr2bl w:val="nil"/>
            </w:tcBorders>
            <w:shd w:val="clear" w:color="auto" w:fill="auto"/>
            <w:tcMar>
              <w:top w:w="12" w:type="dxa"/>
              <w:left w:w="12" w:type="dxa"/>
              <w:right w:w="12" w:type="dxa"/>
            </w:tcMar>
            <w:vAlign w:val="center"/>
          </w:tcPr>
          <w:p w14:paraId="08DE9756">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动力电池管理及维护技术</w:t>
            </w:r>
          </w:p>
          <w:p w14:paraId="110F3BFC">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Power Battery Management and Maintenance Technology</w:t>
            </w:r>
          </w:p>
        </w:tc>
        <w:tc>
          <w:tcPr>
            <w:tcW w:w="579" w:type="dxa"/>
            <w:tcBorders>
              <w:tl2br w:val="nil"/>
              <w:tr2bl w:val="nil"/>
            </w:tcBorders>
            <w:shd w:val="clear" w:color="auto" w:fill="auto"/>
            <w:tcMar>
              <w:top w:w="12" w:type="dxa"/>
              <w:left w:w="12" w:type="dxa"/>
              <w:right w:w="12" w:type="dxa"/>
            </w:tcMar>
            <w:vAlign w:val="center"/>
          </w:tcPr>
          <w:p w14:paraId="1E62E25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5DB948B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noWrap/>
            <w:tcMar>
              <w:top w:w="12" w:type="dxa"/>
              <w:left w:w="12" w:type="dxa"/>
              <w:right w:w="12" w:type="dxa"/>
            </w:tcMar>
            <w:vAlign w:val="center"/>
          </w:tcPr>
          <w:p w14:paraId="70D3106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68EF2578">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01A88CC5">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57AF99F1">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20AE3BF4">
            <w:pPr>
              <w:widowControl/>
              <w:jc w:val="center"/>
              <w:textAlignment w:val="center"/>
              <w:rPr>
                <w:rFonts w:ascii="Times New Roman" w:hAnsi="Times New Roman" w:cs="Times New Roman"/>
                <w:bCs/>
                <w:kern w:val="0"/>
                <w:sz w:val="17"/>
                <w:szCs w:val="17"/>
              </w:rPr>
            </w:pPr>
          </w:p>
        </w:tc>
      </w:tr>
      <w:tr w14:paraId="432EAB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4949D3B">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CE0980A">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D9E857E">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1224246045</w:t>
            </w:r>
          </w:p>
        </w:tc>
        <w:tc>
          <w:tcPr>
            <w:tcW w:w="2370" w:type="dxa"/>
            <w:tcBorders>
              <w:tl2br w:val="nil"/>
              <w:tr2bl w:val="nil"/>
            </w:tcBorders>
            <w:shd w:val="clear" w:color="auto" w:fill="auto"/>
            <w:tcMar>
              <w:top w:w="12" w:type="dxa"/>
              <w:left w:w="12" w:type="dxa"/>
              <w:right w:w="12" w:type="dxa"/>
            </w:tcMar>
            <w:vAlign w:val="center"/>
          </w:tcPr>
          <w:p w14:paraId="6016BEBA">
            <w:pPr>
              <w:adjustRightInd w:val="0"/>
              <w:spacing w:line="200" w:lineRule="exact"/>
              <w:jc w:val="left"/>
              <w:rPr>
                <w:rFonts w:ascii="Times New Roman" w:hAnsi="Times New Roman" w:cs="Times New Roman"/>
                <w:bCs/>
                <w:kern w:val="0"/>
                <w:sz w:val="17"/>
                <w:szCs w:val="17"/>
                <w:lang w:bidi="ar"/>
              </w:rPr>
            </w:pPr>
            <w:bookmarkStart w:id="21" w:name="OLE_LINK2"/>
            <w:r>
              <w:rPr>
                <w:rFonts w:ascii="Times New Roman" w:hAnsi="Times New Roman" w:cs="Times New Roman"/>
                <w:bCs/>
                <w:kern w:val="0"/>
                <w:sz w:val="17"/>
                <w:szCs w:val="17"/>
                <w:lang w:bidi="ar"/>
              </w:rPr>
              <w:t>新能源汽车综合故障诊断</w:t>
            </w:r>
            <w:bookmarkEnd w:id="21"/>
          </w:p>
          <w:p w14:paraId="3D378CB3">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Comprehensive Fault Diagnosis of New Energy Vehicles</w:t>
            </w:r>
          </w:p>
        </w:tc>
        <w:tc>
          <w:tcPr>
            <w:tcW w:w="579" w:type="dxa"/>
            <w:tcBorders>
              <w:tl2br w:val="nil"/>
              <w:tr2bl w:val="nil"/>
            </w:tcBorders>
            <w:shd w:val="clear" w:color="auto" w:fill="auto"/>
            <w:tcMar>
              <w:top w:w="12" w:type="dxa"/>
              <w:left w:w="12" w:type="dxa"/>
              <w:right w:w="12" w:type="dxa"/>
            </w:tcMar>
            <w:vAlign w:val="center"/>
          </w:tcPr>
          <w:p w14:paraId="58ECEB0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31CAEC9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noWrap/>
            <w:tcMar>
              <w:top w:w="12" w:type="dxa"/>
              <w:left w:w="12" w:type="dxa"/>
              <w:right w:w="12" w:type="dxa"/>
            </w:tcMar>
            <w:vAlign w:val="center"/>
          </w:tcPr>
          <w:p w14:paraId="5C4C74A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3AD01D29">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58" w:type="dxa"/>
            <w:tcBorders>
              <w:tl2br w:val="nil"/>
              <w:tr2bl w:val="nil"/>
            </w:tcBorders>
            <w:shd w:val="clear" w:color="auto" w:fill="auto"/>
            <w:tcMar>
              <w:top w:w="12" w:type="dxa"/>
              <w:left w:w="12" w:type="dxa"/>
              <w:right w:w="12" w:type="dxa"/>
            </w:tcMar>
            <w:vAlign w:val="center"/>
          </w:tcPr>
          <w:p w14:paraId="7DE1D288">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考试</w:t>
            </w:r>
          </w:p>
        </w:tc>
        <w:tc>
          <w:tcPr>
            <w:tcW w:w="619" w:type="dxa"/>
            <w:tcBorders>
              <w:tl2br w:val="nil"/>
              <w:tr2bl w:val="nil"/>
            </w:tcBorders>
            <w:shd w:val="clear" w:color="auto" w:fill="auto"/>
            <w:tcMar>
              <w:top w:w="12" w:type="dxa"/>
              <w:left w:w="12" w:type="dxa"/>
              <w:right w:w="12" w:type="dxa"/>
            </w:tcMar>
            <w:vAlign w:val="center"/>
          </w:tcPr>
          <w:p w14:paraId="5BCCB481">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35D724D7">
            <w:pPr>
              <w:widowControl/>
              <w:jc w:val="center"/>
              <w:textAlignment w:val="center"/>
              <w:rPr>
                <w:rFonts w:ascii="Times New Roman" w:hAnsi="Times New Roman" w:cs="Times New Roman"/>
                <w:bCs/>
                <w:kern w:val="0"/>
                <w:sz w:val="17"/>
                <w:szCs w:val="17"/>
              </w:rPr>
            </w:pPr>
          </w:p>
        </w:tc>
      </w:tr>
      <w:tr w14:paraId="04E277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7CEE4A2">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AAD7B93">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6DAC8B7">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1224246046</w:t>
            </w:r>
          </w:p>
        </w:tc>
        <w:tc>
          <w:tcPr>
            <w:tcW w:w="2370" w:type="dxa"/>
            <w:tcBorders>
              <w:tl2br w:val="nil"/>
              <w:tr2bl w:val="nil"/>
            </w:tcBorders>
            <w:shd w:val="clear" w:color="auto" w:fill="auto"/>
            <w:tcMar>
              <w:top w:w="12" w:type="dxa"/>
              <w:left w:w="12" w:type="dxa"/>
              <w:right w:w="12" w:type="dxa"/>
            </w:tcMar>
            <w:vAlign w:val="center"/>
          </w:tcPr>
          <w:p w14:paraId="78FBC1DD">
            <w:pPr>
              <w:adjustRightInd w:val="0"/>
              <w:spacing w:line="200" w:lineRule="exact"/>
              <w:jc w:val="left"/>
              <w:rPr>
                <w:rFonts w:ascii="Times New Roman" w:hAnsi="Times New Roman" w:cs="Times New Roman"/>
                <w:bCs/>
                <w:kern w:val="0"/>
                <w:sz w:val="17"/>
                <w:szCs w:val="17"/>
                <w:lang w:bidi="ar"/>
              </w:rPr>
            </w:pPr>
            <w:bookmarkStart w:id="22" w:name="OLE_LINK1"/>
            <w:r>
              <w:rPr>
                <w:rFonts w:ascii="Times New Roman" w:hAnsi="Times New Roman" w:cs="Times New Roman"/>
                <w:bCs/>
                <w:kern w:val="0"/>
                <w:sz w:val="17"/>
                <w:szCs w:val="17"/>
                <w:lang w:bidi="ar"/>
              </w:rPr>
              <w:t>新能源汽车充电设备的维护</w:t>
            </w:r>
            <w:bookmarkEnd w:id="22"/>
          </w:p>
          <w:p w14:paraId="1700A292">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Maintenance of New Energy Vehicle Charging Equipment</w:t>
            </w:r>
          </w:p>
        </w:tc>
        <w:tc>
          <w:tcPr>
            <w:tcW w:w="579" w:type="dxa"/>
            <w:tcBorders>
              <w:tl2br w:val="nil"/>
              <w:tr2bl w:val="nil"/>
            </w:tcBorders>
            <w:shd w:val="clear" w:color="auto" w:fill="auto"/>
            <w:tcMar>
              <w:top w:w="12" w:type="dxa"/>
              <w:left w:w="12" w:type="dxa"/>
              <w:right w:w="12" w:type="dxa"/>
            </w:tcMar>
            <w:vAlign w:val="center"/>
          </w:tcPr>
          <w:p w14:paraId="2D5151D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2722C6E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48</w:t>
            </w:r>
          </w:p>
        </w:tc>
        <w:tc>
          <w:tcPr>
            <w:tcW w:w="540" w:type="dxa"/>
            <w:tcBorders>
              <w:tl2br w:val="nil"/>
              <w:tr2bl w:val="nil"/>
            </w:tcBorders>
            <w:shd w:val="clear" w:color="auto" w:fill="auto"/>
            <w:noWrap/>
            <w:tcMar>
              <w:top w:w="12" w:type="dxa"/>
              <w:left w:w="12" w:type="dxa"/>
              <w:right w:w="12" w:type="dxa"/>
            </w:tcMar>
            <w:vAlign w:val="center"/>
          </w:tcPr>
          <w:p w14:paraId="2CFCBE0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10888C92">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58" w:type="dxa"/>
            <w:tcBorders>
              <w:tl2br w:val="nil"/>
              <w:tr2bl w:val="nil"/>
            </w:tcBorders>
            <w:shd w:val="clear" w:color="auto" w:fill="auto"/>
            <w:tcMar>
              <w:top w:w="12" w:type="dxa"/>
              <w:left w:w="12" w:type="dxa"/>
              <w:right w:w="12" w:type="dxa"/>
            </w:tcMar>
            <w:vAlign w:val="center"/>
          </w:tcPr>
          <w:p w14:paraId="2F0F4073">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2AC52FE4">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tcPr>
          <w:p w14:paraId="372B5433">
            <w:pPr>
              <w:widowControl/>
              <w:jc w:val="center"/>
              <w:textAlignment w:val="center"/>
              <w:rPr>
                <w:rFonts w:ascii="Times New Roman" w:hAnsi="Times New Roman" w:cs="Times New Roman"/>
                <w:bCs/>
                <w:kern w:val="0"/>
                <w:sz w:val="17"/>
                <w:szCs w:val="17"/>
              </w:rPr>
            </w:pPr>
          </w:p>
        </w:tc>
      </w:tr>
      <w:tr w14:paraId="49D3D4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DA60CC6">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8E6F823">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1A99426">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lang w:bidi="ar"/>
              </w:rPr>
              <w:t>1224546008</w:t>
            </w:r>
          </w:p>
        </w:tc>
        <w:tc>
          <w:tcPr>
            <w:tcW w:w="2370" w:type="dxa"/>
            <w:tcBorders>
              <w:tl2br w:val="nil"/>
              <w:tr2bl w:val="nil"/>
            </w:tcBorders>
            <w:shd w:val="clear" w:color="auto" w:fill="auto"/>
            <w:tcMar>
              <w:top w:w="12" w:type="dxa"/>
              <w:left w:w="12" w:type="dxa"/>
              <w:right w:w="12" w:type="dxa"/>
            </w:tcMar>
            <w:vAlign w:val="center"/>
          </w:tcPr>
          <w:p w14:paraId="1FCC91D5">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汽车拆装实训</w:t>
            </w:r>
          </w:p>
          <w:p w14:paraId="08CF6936">
            <w:pPr>
              <w:adjustRightInd w:val="0"/>
              <w:spacing w:line="200" w:lineRule="exact"/>
              <w:jc w:val="left"/>
              <w:rPr>
                <w:rFonts w:ascii="Times New Roman" w:hAnsi="Times New Roman" w:cs="Times New Roman"/>
                <w:sz w:val="17"/>
                <w:szCs w:val="17"/>
              </w:rPr>
            </w:pPr>
            <w:r>
              <w:rPr>
                <w:rFonts w:ascii="Times New Roman" w:hAnsi="Times New Roman" w:cs="Times New Roman"/>
                <w:bCs/>
                <w:kern w:val="0"/>
                <w:sz w:val="17"/>
                <w:szCs w:val="17"/>
                <w:lang w:bidi="ar"/>
              </w:rPr>
              <w:t>Car Disassembly and Installation Training</w:t>
            </w:r>
          </w:p>
        </w:tc>
        <w:tc>
          <w:tcPr>
            <w:tcW w:w="579" w:type="dxa"/>
            <w:tcBorders>
              <w:tl2br w:val="nil"/>
              <w:tr2bl w:val="nil"/>
            </w:tcBorders>
            <w:shd w:val="clear" w:color="auto" w:fill="auto"/>
            <w:tcMar>
              <w:top w:w="12" w:type="dxa"/>
              <w:left w:w="12" w:type="dxa"/>
              <w:right w:w="12" w:type="dxa"/>
            </w:tcMar>
            <w:vAlign w:val="center"/>
          </w:tcPr>
          <w:p w14:paraId="360B170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469" w:type="dxa"/>
            <w:tcBorders>
              <w:tl2br w:val="nil"/>
              <w:tr2bl w:val="nil"/>
            </w:tcBorders>
            <w:shd w:val="clear" w:color="auto" w:fill="auto"/>
            <w:tcMar>
              <w:top w:w="12" w:type="dxa"/>
              <w:left w:w="12" w:type="dxa"/>
              <w:right w:w="12" w:type="dxa"/>
            </w:tcMar>
            <w:vAlign w:val="center"/>
          </w:tcPr>
          <w:p w14:paraId="5DE9106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40" w:type="dxa"/>
            <w:tcBorders>
              <w:tl2br w:val="nil"/>
              <w:tr2bl w:val="nil"/>
            </w:tcBorders>
            <w:shd w:val="clear" w:color="auto" w:fill="auto"/>
            <w:noWrap/>
            <w:tcMar>
              <w:top w:w="12" w:type="dxa"/>
              <w:left w:w="12" w:type="dxa"/>
              <w:right w:w="12" w:type="dxa"/>
            </w:tcMar>
            <w:vAlign w:val="center"/>
          </w:tcPr>
          <w:p w14:paraId="37A096E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70" w:type="dxa"/>
            <w:tcBorders>
              <w:tl2br w:val="nil"/>
              <w:tr2bl w:val="nil"/>
            </w:tcBorders>
            <w:shd w:val="clear" w:color="auto" w:fill="auto"/>
            <w:tcMar>
              <w:top w:w="12" w:type="dxa"/>
              <w:left w:w="12" w:type="dxa"/>
              <w:right w:w="12" w:type="dxa"/>
            </w:tcMar>
            <w:vAlign w:val="center"/>
          </w:tcPr>
          <w:p w14:paraId="3F7768DC">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58" w:type="dxa"/>
            <w:tcBorders>
              <w:tl2br w:val="nil"/>
              <w:tr2bl w:val="nil"/>
            </w:tcBorders>
            <w:shd w:val="clear" w:color="auto" w:fill="auto"/>
            <w:tcMar>
              <w:top w:w="12" w:type="dxa"/>
              <w:left w:w="12" w:type="dxa"/>
              <w:right w:w="12" w:type="dxa"/>
            </w:tcMar>
            <w:vAlign w:val="center"/>
          </w:tcPr>
          <w:p w14:paraId="6CBF0B8A">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2724AC2A">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tcPr>
          <w:p w14:paraId="1E9A444A">
            <w:pPr>
              <w:widowControl/>
              <w:jc w:val="center"/>
              <w:textAlignment w:val="center"/>
              <w:rPr>
                <w:rFonts w:ascii="Times New Roman" w:hAnsi="Times New Roman" w:cs="Times New Roman"/>
                <w:bCs/>
                <w:kern w:val="0"/>
                <w:sz w:val="17"/>
                <w:szCs w:val="17"/>
              </w:rPr>
            </w:pPr>
          </w:p>
        </w:tc>
      </w:tr>
      <w:tr w14:paraId="702EDD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813C0C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750BFCD">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7D911DD">
            <w:pPr>
              <w:widowControl/>
              <w:jc w:val="center"/>
              <w:textAlignment w:val="center"/>
              <w:rPr>
                <w:rFonts w:ascii="Times New Roman" w:hAnsi="Times New Roman" w:cs="Times New Roman"/>
                <w:bCs/>
                <w:kern w:val="0"/>
                <w:sz w:val="17"/>
                <w:szCs w:val="17"/>
              </w:rPr>
            </w:pPr>
            <w:r>
              <w:rPr>
                <w:rFonts w:ascii="Times New Roman" w:hAnsi="Times New Roman" w:cs="Times New Roman"/>
                <w:sz w:val="17"/>
                <w:szCs w:val="17"/>
              </w:rPr>
              <w:t>1224546080</w:t>
            </w:r>
          </w:p>
        </w:tc>
        <w:tc>
          <w:tcPr>
            <w:tcW w:w="2370" w:type="dxa"/>
            <w:tcBorders>
              <w:tl2br w:val="nil"/>
              <w:tr2bl w:val="nil"/>
            </w:tcBorders>
            <w:shd w:val="clear" w:color="auto" w:fill="auto"/>
            <w:tcMar>
              <w:top w:w="12" w:type="dxa"/>
              <w:left w:w="12" w:type="dxa"/>
              <w:right w:w="12" w:type="dxa"/>
            </w:tcMar>
            <w:vAlign w:val="center"/>
          </w:tcPr>
          <w:p w14:paraId="1FF34556">
            <w:pPr>
              <w:adjustRightInd w:val="0"/>
              <w:spacing w:line="200" w:lineRule="exact"/>
              <w:jc w:val="left"/>
              <w:rPr>
                <w:rFonts w:ascii="Times New Roman" w:hAnsi="Times New Roman" w:cs="Times New Roman"/>
                <w:bCs/>
                <w:kern w:val="0"/>
                <w:sz w:val="17"/>
                <w:szCs w:val="17"/>
                <w:lang w:bidi="ar"/>
              </w:rPr>
            </w:pPr>
            <w:r>
              <w:rPr>
                <w:rFonts w:ascii="Times New Roman" w:hAnsi="Times New Roman" w:cs="Times New Roman"/>
                <w:bCs/>
                <w:kern w:val="0"/>
                <w:sz w:val="17"/>
                <w:szCs w:val="17"/>
                <w:lang w:bidi="ar"/>
              </w:rPr>
              <w:t>汽车综合故障诊断课程实习</w:t>
            </w:r>
          </w:p>
          <w:p w14:paraId="3FA73936">
            <w:pPr>
              <w:adjustRightInd w:val="0"/>
              <w:spacing w:line="200" w:lineRule="exact"/>
              <w:jc w:val="left"/>
            </w:pPr>
            <w:r>
              <w:rPr>
                <w:rFonts w:ascii="Times New Roman" w:hAnsi="Times New Roman" w:eastAsia="宋体" w:cs="Times New Roman"/>
                <w:bCs/>
                <w:kern w:val="0"/>
                <w:sz w:val="17"/>
                <w:szCs w:val="17"/>
                <w:lang w:bidi="ar"/>
              </w:rPr>
              <w:t>Course Internship on Comprehensive Fault Diagnosis of Vehicles</w:t>
            </w:r>
          </w:p>
        </w:tc>
        <w:tc>
          <w:tcPr>
            <w:tcW w:w="579" w:type="dxa"/>
            <w:tcBorders>
              <w:tl2br w:val="nil"/>
              <w:tr2bl w:val="nil"/>
            </w:tcBorders>
            <w:shd w:val="clear" w:color="auto" w:fill="auto"/>
            <w:tcMar>
              <w:top w:w="12" w:type="dxa"/>
              <w:left w:w="12" w:type="dxa"/>
              <w:right w:w="12" w:type="dxa"/>
            </w:tcMar>
            <w:vAlign w:val="center"/>
          </w:tcPr>
          <w:p w14:paraId="36A943D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469" w:type="dxa"/>
            <w:tcBorders>
              <w:tl2br w:val="nil"/>
              <w:tr2bl w:val="nil"/>
            </w:tcBorders>
            <w:shd w:val="clear" w:color="auto" w:fill="auto"/>
            <w:tcMar>
              <w:top w:w="12" w:type="dxa"/>
              <w:left w:w="12" w:type="dxa"/>
              <w:right w:w="12" w:type="dxa"/>
            </w:tcMar>
            <w:vAlign w:val="center"/>
          </w:tcPr>
          <w:p w14:paraId="4148FA9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40" w:type="dxa"/>
            <w:tcBorders>
              <w:tl2br w:val="nil"/>
              <w:tr2bl w:val="nil"/>
            </w:tcBorders>
            <w:shd w:val="clear" w:color="auto" w:fill="auto"/>
            <w:noWrap/>
            <w:tcMar>
              <w:top w:w="12" w:type="dxa"/>
              <w:left w:w="12" w:type="dxa"/>
              <w:right w:w="12" w:type="dxa"/>
            </w:tcMar>
            <w:vAlign w:val="center"/>
          </w:tcPr>
          <w:p w14:paraId="4A95035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70" w:type="dxa"/>
            <w:tcBorders>
              <w:tl2br w:val="nil"/>
              <w:tr2bl w:val="nil"/>
            </w:tcBorders>
            <w:shd w:val="clear" w:color="auto" w:fill="auto"/>
            <w:tcMar>
              <w:top w:w="12" w:type="dxa"/>
              <w:left w:w="12" w:type="dxa"/>
              <w:right w:w="12" w:type="dxa"/>
            </w:tcMar>
            <w:vAlign w:val="center"/>
          </w:tcPr>
          <w:p w14:paraId="3FE16EC4">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58" w:type="dxa"/>
            <w:tcBorders>
              <w:tl2br w:val="nil"/>
              <w:tr2bl w:val="nil"/>
            </w:tcBorders>
            <w:shd w:val="clear" w:color="auto" w:fill="auto"/>
            <w:tcMar>
              <w:top w:w="12" w:type="dxa"/>
              <w:left w:w="12" w:type="dxa"/>
              <w:right w:w="12" w:type="dxa"/>
            </w:tcMar>
            <w:vAlign w:val="center"/>
          </w:tcPr>
          <w:p w14:paraId="75280FCE">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6B4FF85">
            <w:pPr>
              <w:jc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tcPr>
          <w:p w14:paraId="67645E9C">
            <w:pPr>
              <w:widowControl/>
              <w:jc w:val="center"/>
              <w:textAlignment w:val="center"/>
              <w:rPr>
                <w:rFonts w:ascii="Times New Roman" w:hAnsi="Times New Roman" w:cs="Times New Roman"/>
                <w:bCs/>
                <w:kern w:val="0"/>
                <w:sz w:val="17"/>
                <w:szCs w:val="17"/>
              </w:rPr>
            </w:pPr>
          </w:p>
        </w:tc>
      </w:tr>
      <w:tr w14:paraId="4838C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7E9E14E8">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D998DD9">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1378CFB5">
            <w:pPr>
              <w:widowControl/>
              <w:jc w:val="center"/>
              <w:textAlignment w:val="center"/>
              <w:rPr>
                <w:rFonts w:ascii="Times New Roman" w:hAnsi="Times New Roman" w:cs="Times New Roman"/>
                <w:b/>
                <w:bCs/>
                <w:kern w:val="0"/>
                <w:sz w:val="17"/>
                <w:szCs w:val="17"/>
              </w:rPr>
            </w:pPr>
            <w:r>
              <w:rPr>
                <w:rFonts w:ascii="Times New Roman" w:hAnsi="Times New Roman" w:eastAsia="宋体" w:cs="Times New Roman"/>
                <w:bCs/>
                <w:kern w:val="0"/>
                <w:sz w:val="17"/>
                <w:szCs w:val="17"/>
                <w:lang w:bidi="ar"/>
              </w:rPr>
              <w:t>1224646001</w:t>
            </w:r>
          </w:p>
        </w:tc>
        <w:tc>
          <w:tcPr>
            <w:tcW w:w="2370" w:type="dxa"/>
            <w:tcBorders>
              <w:tl2br w:val="nil"/>
              <w:tr2bl w:val="nil"/>
            </w:tcBorders>
            <w:shd w:val="clear" w:color="auto" w:fill="auto"/>
            <w:tcMar>
              <w:top w:w="12" w:type="dxa"/>
              <w:left w:w="12" w:type="dxa"/>
              <w:right w:w="12" w:type="dxa"/>
            </w:tcMar>
            <w:vAlign w:val="center"/>
          </w:tcPr>
          <w:p w14:paraId="062A37B5">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顶岗实习及毕业实践</w:t>
            </w:r>
          </w:p>
          <w:p w14:paraId="32318DDD">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Job Internship and Graduation Practice</w:t>
            </w:r>
          </w:p>
        </w:tc>
        <w:tc>
          <w:tcPr>
            <w:tcW w:w="579" w:type="dxa"/>
            <w:tcBorders>
              <w:tl2br w:val="nil"/>
              <w:tr2bl w:val="nil"/>
            </w:tcBorders>
            <w:shd w:val="clear" w:color="auto" w:fill="auto"/>
            <w:tcMar>
              <w:top w:w="12" w:type="dxa"/>
              <w:left w:w="12" w:type="dxa"/>
              <w:right w:w="12" w:type="dxa"/>
            </w:tcMar>
            <w:vAlign w:val="center"/>
          </w:tcPr>
          <w:p w14:paraId="7A42AEE7">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28</w:t>
            </w:r>
          </w:p>
        </w:tc>
        <w:tc>
          <w:tcPr>
            <w:tcW w:w="469" w:type="dxa"/>
            <w:tcBorders>
              <w:tl2br w:val="nil"/>
              <w:tr2bl w:val="nil"/>
            </w:tcBorders>
            <w:shd w:val="clear" w:color="auto" w:fill="auto"/>
            <w:tcMar>
              <w:top w:w="12" w:type="dxa"/>
              <w:left w:w="12" w:type="dxa"/>
              <w:right w:w="12" w:type="dxa"/>
            </w:tcMar>
            <w:vAlign w:val="center"/>
          </w:tcPr>
          <w:p w14:paraId="089845D6">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840</w:t>
            </w:r>
          </w:p>
        </w:tc>
        <w:tc>
          <w:tcPr>
            <w:tcW w:w="540" w:type="dxa"/>
            <w:tcBorders>
              <w:tl2br w:val="nil"/>
              <w:tr2bl w:val="nil"/>
            </w:tcBorders>
            <w:shd w:val="clear" w:color="auto" w:fill="auto"/>
            <w:noWrap/>
            <w:tcMar>
              <w:top w:w="12" w:type="dxa"/>
              <w:left w:w="12" w:type="dxa"/>
              <w:right w:w="12" w:type="dxa"/>
            </w:tcMar>
            <w:vAlign w:val="center"/>
          </w:tcPr>
          <w:p w14:paraId="6AE8D046">
            <w:pPr>
              <w:widowControl/>
              <w:jc w:val="center"/>
              <w:textAlignment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70" w:type="dxa"/>
            <w:tcBorders>
              <w:tl2br w:val="nil"/>
              <w:tr2bl w:val="nil"/>
            </w:tcBorders>
            <w:shd w:val="clear" w:color="auto" w:fill="auto"/>
            <w:tcMar>
              <w:top w:w="12" w:type="dxa"/>
              <w:left w:w="12" w:type="dxa"/>
              <w:right w:w="12" w:type="dxa"/>
            </w:tcMar>
            <w:vAlign w:val="center"/>
          </w:tcPr>
          <w:p w14:paraId="4D30B911">
            <w:pPr>
              <w:jc w:val="center"/>
              <w:rPr>
                <w:rFonts w:ascii="Times New Roman" w:hAnsi="Times New Roman" w:cs="Times New Roman"/>
                <w:bCs/>
                <w:kern w:val="0"/>
                <w:sz w:val="17"/>
                <w:szCs w:val="17"/>
              </w:rPr>
            </w:pPr>
            <w:r>
              <w:rPr>
                <w:rFonts w:ascii="Times New Roman" w:hAnsi="Times New Roman" w:eastAsia="宋体" w:cs="Times New Roman"/>
                <w:sz w:val="17"/>
                <w:szCs w:val="17"/>
              </w:rPr>
              <w:t>840</w:t>
            </w:r>
          </w:p>
        </w:tc>
        <w:tc>
          <w:tcPr>
            <w:tcW w:w="558" w:type="dxa"/>
            <w:tcBorders>
              <w:tl2br w:val="nil"/>
              <w:tr2bl w:val="nil"/>
            </w:tcBorders>
            <w:shd w:val="clear" w:color="auto" w:fill="auto"/>
            <w:tcMar>
              <w:top w:w="12" w:type="dxa"/>
              <w:left w:w="12" w:type="dxa"/>
              <w:right w:w="12" w:type="dxa"/>
            </w:tcMar>
            <w:vAlign w:val="center"/>
          </w:tcPr>
          <w:p w14:paraId="60BF4D5B">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C7069E8">
            <w:pPr>
              <w:jc w:val="center"/>
              <w:rPr>
                <w:rFonts w:ascii="Times New Roman" w:hAnsi="Times New Roman" w:cs="Times New Roman"/>
                <w:bCs/>
                <w:kern w:val="0"/>
                <w:sz w:val="17"/>
                <w:szCs w:val="17"/>
              </w:rPr>
            </w:pPr>
            <w:r>
              <w:rPr>
                <w:rFonts w:ascii="Times New Roman" w:hAnsi="Times New Roman" w:eastAsia="宋体" w:cs="Times New Roman"/>
                <w:sz w:val="17"/>
                <w:szCs w:val="17"/>
              </w:rPr>
              <w:t>5</w:t>
            </w:r>
            <w:r>
              <w:rPr>
                <w:rFonts w:hint="eastAsia" w:ascii="Times New Roman" w:hAnsi="Times New Roman" w:eastAsia="宋体" w:cs="Times New Roman"/>
                <w:sz w:val="17"/>
                <w:szCs w:val="17"/>
              </w:rPr>
              <w:t>-6</w:t>
            </w:r>
          </w:p>
        </w:tc>
        <w:tc>
          <w:tcPr>
            <w:tcW w:w="1541" w:type="dxa"/>
            <w:tcBorders>
              <w:tl2br w:val="nil"/>
              <w:tr2bl w:val="nil"/>
            </w:tcBorders>
            <w:shd w:val="clear" w:color="auto" w:fill="auto"/>
            <w:tcMar>
              <w:top w:w="12" w:type="dxa"/>
              <w:left w:w="12" w:type="dxa"/>
              <w:right w:w="12" w:type="dxa"/>
            </w:tcMar>
          </w:tcPr>
          <w:p w14:paraId="375B1E3F">
            <w:pPr>
              <w:widowControl/>
              <w:jc w:val="center"/>
              <w:textAlignment w:val="center"/>
              <w:rPr>
                <w:rFonts w:ascii="Times New Roman" w:hAnsi="Times New Roman" w:cs="Times New Roman"/>
                <w:bCs/>
                <w:kern w:val="0"/>
                <w:sz w:val="17"/>
                <w:szCs w:val="17"/>
              </w:rPr>
            </w:pPr>
          </w:p>
        </w:tc>
      </w:tr>
      <w:tr w14:paraId="0D2702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AEEEEE9">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ECA43C2">
            <w:pPr>
              <w:adjustRightInd w:val="0"/>
              <w:spacing w:line="200" w:lineRule="exact"/>
              <w:jc w:val="center"/>
              <w:rPr>
                <w:rFonts w:ascii="Times New Roman" w:hAnsi="Times New Roman" w:cs="Times New Roman"/>
                <w:bCs/>
                <w:kern w:val="0"/>
                <w:sz w:val="17"/>
                <w:szCs w:val="17"/>
              </w:rPr>
            </w:pPr>
          </w:p>
        </w:tc>
        <w:tc>
          <w:tcPr>
            <w:tcW w:w="3591" w:type="dxa"/>
            <w:gridSpan w:val="2"/>
            <w:tcBorders>
              <w:tl2br w:val="nil"/>
              <w:tr2bl w:val="nil"/>
            </w:tcBorders>
            <w:shd w:val="clear" w:color="auto" w:fill="auto"/>
            <w:tcMar>
              <w:top w:w="12" w:type="dxa"/>
              <w:left w:w="12" w:type="dxa"/>
              <w:right w:w="12" w:type="dxa"/>
            </w:tcMar>
            <w:vAlign w:val="center"/>
          </w:tcPr>
          <w:p w14:paraId="7B5DB88B">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579" w:type="dxa"/>
            <w:tcBorders>
              <w:tl2br w:val="nil"/>
              <w:tr2bl w:val="nil"/>
            </w:tcBorders>
            <w:shd w:val="clear" w:color="auto" w:fill="auto"/>
            <w:tcMar>
              <w:top w:w="12" w:type="dxa"/>
              <w:left w:w="12" w:type="dxa"/>
              <w:right w:w="12" w:type="dxa"/>
            </w:tcMar>
            <w:vAlign w:val="center"/>
          </w:tcPr>
          <w:p w14:paraId="2DC49398">
            <w:pPr>
              <w:widowControl/>
              <w:jc w:val="center"/>
              <w:textAlignment w:val="center"/>
              <w:rPr>
                <w:rFonts w:ascii="Times New Roman" w:hAnsi="Times New Roman" w:eastAsia="宋体" w:cs="Times New Roman"/>
                <w:b/>
                <w:bCs/>
                <w:sz w:val="17"/>
                <w:szCs w:val="17"/>
              </w:rPr>
            </w:pPr>
            <w:r>
              <w:rPr>
                <w:rFonts w:ascii="Times New Roman" w:hAnsi="Times New Roman" w:eastAsia="宋体" w:cs="Times New Roman"/>
                <w:b/>
                <w:bCs/>
                <w:sz w:val="17"/>
                <w:szCs w:val="17"/>
              </w:rPr>
              <w:t>48</w:t>
            </w:r>
          </w:p>
        </w:tc>
        <w:tc>
          <w:tcPr>
            <w:tcW w:w="469" w:type="dxa"/>
            <w:tcBorders>
              <w:tl2br w:val="nil"/>
              <w:tr2bl w:val="nil"/>
            </w:tcBorders>
            <w:shd w:val="clear" w:color="auto" w:fill="auto"/>
            <w:tcMar>
              <w:top w:w="12" w:type="dxa"/>
              <w:left w:w="12" w:type="dxa"/>
              <w:right w:w="12" w:type="dxa"/>
            </w:tcMar>
            <w:vAlign w:val="center"/>
          </w:tcPr>
          <w:p w14:paraId="285053A9">
            <w:pPr>
              <w:widowControl/>
              <w:jc w:val="center"/>
              <w:textAlignment w:val="center"/>
              <w:rPr>
                <w:rFonts w:ascii="Times New Roman" w:hAnsi="Times New Roman" w:eastAsia="宋体" w:cs="Times New Roman"/>
                <w:b/>
                <w:bCs/>
                <w:sz w:val="17"/>
                <w:szCs w:val="17"/>
              </w:rPr>
            </w:pPr>
            <w:r>
              <w:rPr>
                <w:rFonts w:hint="eastAsia" w:ascii="Times New Roman" w:hAnsi="Times New Roman" w:eastAsia="宋体" w:cs="Times New Roman"/>
                <w:b/>
                <w:bCs/>
                <w:sz w:val="17"/>
                <w:szCs w:val="17"/>
              </w:rPr>
              <w:t>1</w:t>
            </w:r>
            <w:r>
              <w:rPr>
                <w:rFonts w:ascii="Times New Roman" w:hAnsi="Times New Roman" w:eastAsia="宋体" w:cs="Times New Roman"/>
                <w:b/>
                <w:bCs/>
                <w:sz w:val="17"/>
                <w:szCs w:val="17"/>
              </w:rPr>
              <w:t>188</w:t>
            </w:r>
          </w:p>
        </w:tc>
        <w:tc>
          <w:tcPr>
            <w:tcW w:w="540" w:type="dxa"/>
            <w:tcBorders>
              <w:tl2br w:val="nil"/>
              <w:tr2bl w:val="nil"/>
            </w:tcBorders>
            <w:shd w:val="clear" w:color="auto" w:fill="auto"/>
            <w:tcMar>
              <w:top w:w="12" w:type="dxa"/>
              <w:left w:w="12" w:type="dxa"/>
              <w:right w:w="12" w:type="dxa"/>
            </w:tcMar>
            <w:vAlign w:val="center"/>
          </w:tcPr>
          <w:p w14:paraId="0D4AC10A">
            <w:pPr>
              <w:widowControl/>
              <w:jc w:val="center"/>
              <w:textAlignment w:val="center"/>
              <w:rPr>
                <w:rFonts w:ascii="Times New Roman" w:hAnsi="Times New Roman" w:eastAsia="宋体" w:cs="Times New Roman"/>
                <w:b/>
                <w:bCs/>
                <w:sz w:val="17"/>
                <w:szCs w:val="17"/>
              </w:rPr>
            </w:pPr>
            <w:r>
              <w:rPr>
                <w:rFonts w:hint="eastAsia" w:ascii="Times New Roman" w:hAnsi="Times New Roman" w:eastAsia="宋体" w:cs="Times New Roman"/>
                <w:b/>
                <w:bCs/>
                <w:sz w:val="17"/>
                <w:szCs w:val="17"/>
              </w:rPr>
              <w:t>184</w:t>
            </w:r>
          </w:p>
        </w:tc>
        <w:tc>
          <w:tcPr>
            <w:tcW w:w="570" w:type="dxa"/>
            <w:tcBorders>
              <w:tl2br w:val="nil"/>
              <w:tr2bl w:val="nil"/>
            </w:tcBorders>
            <w:shd w:val="clear" w:color="auto" w:fill="auto"/>
            <w:tcMar>
              <w:top w:w="12" w:type="dxa"/>
              <w:left w:w="12" w:type="dxa"/>
              <w:right w:w="12" w:type="dxa"/>
            </w:tcMar>
            <w:vAlign w:val="center"/>
          </w:tcPr>
          <w:p w14:paraId="37151BE2">
            <w:pPr>
              <w:widowControl/>
              <w:jc w:val="center"/>
              <w:textAlignment w:val="center"/>
              <w:rPr>
                <w:rFonts w:ascii="Times New Roman" w:hAnsi="Times New Roman" w:eastAsia="宋体" w:cs="Times New Roman"/>
                <w:b/>
                <w:bCs/>
                <w:sz w:val="17"/>
                <w:szCs w:val="17"/>
              </w:rPr>
            </w:pPr>
            <w:r>
              <w:rPr>
                <w:rFonts w:hint="eastAsia" w:ascii="Times New Roman" w:hAnsi="Times New Roman" w:eastAsia="宋体" w:cs="Times New Roman"/>
                <w:b/>
                <w:bCs/>
                <w:sz w:val="17"/>
                <w:szCs w:val="17"/>
              </w:rPr>
              <w:t>1</w:t>
            </w:r>
            <w:r>
              <w:rPr>
                <w:rFonts w:ascii="Times New Roman" w:hAnsi="Times New Roman" w:eastAsia="宋体" w:cs="Times New Roman"/>
                <w:b/>
                <w:bCs/>
                <w:sz w:val="17"/>
                <w:szCs w:val="17"/>
              </w:rPr>
              <w:t>00</w:t>
            </w:r>
            <w:r>
              <w:rPr>
                <w:rFonts w:hint="eastAsia" w:ascii="Times New Roman" w:hAnsi="Times New Roman" w:eastAsia="宋体" w:cs="Times New Roman"/>
                <w:b/>
                <w:bCs/>
                <w:sz w:val="17"/>
                <w:szCs w:val="17"/>
              </w:rPr>
              <w:t>4</w:t>
            </w:r>
          </w:p>
        </w:tc>
        <w:tc>
          <w:tcPr>
            <w:tcW w:w="558" w:type="dxa"/>
            <w:tcBorders>
              <w:tl2br w:val="nil"/>
              <w:tr2bl w:val="nil"/>
            </w:tcBorders>
            <w:shd w:val="clear" w:color="auto" w:fill="auto"/>
            <w:tcMar>
              <w:top w:w="12" w:type="dxa"/>
              <w:left w:w="12" w:type="dxa"/>
              <w:right w:w="12" w:type="dxa"/>
            </w:tcMar>
            <w:vAlign w:val="center"/>
          </w:tcPr>
          <w:p w14:paraId="7736FD4A">
            <w:pPr>
              <w:jc w:val="center"/>
              <w:rPr>
                <w:rFonts w:ascii="Times New Roman" w:hAnsi="Times New Roman" w:cs="Times New Roman"/>
                <w:bCs/>
                <w:kern w:val="0"/>
                <w:sz w:val="17"/>
                <w:szCs w:val="17"/>
              </w:rPr>
            </w:pPr>
          </w:p>
        </w:tc>
        <w:tc>
          <w:tcPr>
            <w:tcW w:w="619" w:type="dxa"/>
            <w:tcBorders>
              <w:tl2br w:val="nil"/>
              <w:tr2bl w:val="nil"/>
            </w:tcBorders>
            <w:shd w:val="clear" w:color="auto" w:fill="auto"/>
            <w:tcMar>
              <w:top w:w="12" w:type="dxa"/>
              <w:left w:w="12" w:type="dxa"/>
              <w:right w:w="12" w:type="dxa"/>
            </w:tcMar>
            <w:vAlign w:val="center"/>
          </w:tcPr>
          <w:p w14:paraId="2330ED49">
            <w:pPr>
              <w:adjustRightInd w:val="0"/>
              <w:spacing w:line="200" w:lineRule="exact"/>
              <w:jc w:val="center"/>
              <w:rPr>
                <w:rFonts w:ascii="Times New Roman" w:hAnsi="Times New Roman" w:cs="Times New Roman"/>
                <w:bCs/>
                <w:kern w:val="0"/>
                <w:sz w:val="17"/>
                <w:szCs w:val="17"/>
              </w:rPr>
            </w:pPr>
          </w:p>
        </w:tc>
        <w:tc>
          <w:tcPr>
            <w:tcW w:w="1541" w:type="dxa"/>
            <w:tcBorders>
              <w:tl2br w:val="nil"/>
              <w:tr2bl w:val="nil"/>
            </w:tcBorders>
            <w:shd w:val="clear" w:color="auto" w:fill="auto"/>
            <w:tcMar>
              <w:top w:w="12" w:type="dxa"/>
              <w:left w:w="12" w:type="dxa"/>
              <w:right w:w="12" w:type="dxa"/>
            </w:tcMar>
            <w:vAlign w:val="center"/>
          </w:tcPr>
          <w:p w14:paraId="6EBB7F44">
            <w:pPr>
              <w:adjustRightInd w:val="0"/>
              <w:spacing w:line="200" w:lineRule="exact"/>
              <w:jc w:val="center"/>
              <w:rPr>
                <w:rFonts w:ascii="Times New Roman" w:hAnsi="Times New Roman" w:cs="Times New Roman"/>
                <w:bCs/>
                <w:kern w:val="0"/>
                <w:sz w:val="17"/>
                <w:szCs w:val="17"/>
              </w:rPr>
            </w:pPr>
          </w:p>
        </w:tc>
      </w:tr>
      <w:tr w14:paraId="5DD766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7A8E19E">
            <w:pPr>
              <w:adjustRightInd w:val="0"/>
              <w:spacing w:line="200" w:lineRule="exact"/>
              <w:jc w:val="center"/>
              <w:rPr>
                <w:rFonts w:ascii="Times New Roman" w:hAnsi="Times New Roman" w:cs="Times New Roman"/>
                <w:bCs/>
                <w:kern w:val="0"/>
                <w:sz w:val="17"/>
                <w:szCs w:val="17"/>
              </w:rPr>
            </w:pPr>
          </w:p>
        </w:tc>
        <w:tc>
          <w:tcPr>
            <w:tcW w:w="519" w:type="dxa"/>
            <w:vMerge w:val="restart"/>
            <w:tcBorders>
              <w:tl2br w:val="nil"/>
              <w:tr2bl w:val="nil"/>
            </w:tcBorders>
            <w:shd w:val="clear" w:color="auto" w:fill="auto"/>
            <w:tcMar>
              <w:top w:w="12" w:type="dxa"/>
              <w:left w:w="12" w:type="dxa"/>
              <w:right w:w="12" w:type="dxa"/>
            </w:tcMar>
            <w:vAlign w:val="center"/>
          </w:tcPr>
          <w:p w14:paraId="6F9138E1">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7F8F5930">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限选</w:t>
            </w:r>
          </w:p>
          <w:p w14:paraId="69372D1E">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课程</w:t>
            </w:r>
          </w:p>
        </w:tc>
        <w:tc>
          <w:tcPr>
            <w:tcW w:w="1221" w:type="dxa"/>
            <w:tcBorders>
              <w:tl2br w:val="nil"/>
              <w:tr2bl w:val="nil"/>
            </w:tcBorders>
            <w:shd w:val="clear" w:color="auto" w:fill="auto"/>
            <w:tcMar>
              <w:top w:w="12" w:type="dxa"/>
              <w:left w:w="12" w:type="dxa"/>
              <w:right w:w="12" w:type="dxa"/>
            </w:tcMar>
            <w:vAlign w:val="center"/>
          </w:tcPr>
          <w:p w14:paraId="327BA287">
            <w:pPr>
              <w:widowControl/>
              <w:jc w:val="center"/>
              <w:textAlignment w:val="center"/>
              <w:rPr>
                <w:rFonts w:ascii="Times New Roman" w:hAnsi="Times New Roman" w:eastAsia="宋体" w:cs="Times New Roman"/>
                <w:bCs/>
                <w:kern w:val="0"/>
                <w:sz w:val="17"/>
                <w:szCs w:val="17"/>
              </w:rPr>
            </w:pPr>
            <w:r>
              <w:rPr>
                <w:rFonts w:ascii="Times New Roman" w:hAnsi="Times New Roman" w:eastAsia="宋体" w:cs="Times New Roman"/>
                <w:sz w:val="17"/>
                <w:szCs w:val="17"/>
              </w:rPr>
              <w:t>12252460</w:t>
            </w:r>
            <w:r>
              <w:rPr>
                <w:rFonts w:hint="eastAsia" w:ascii="Times New Roman" w:hAnsi="Times New Roman" w:eastAsia="宋体" w:cs="Times New Roman"/>
                <w:sz w:val="17"/>
                <w:szCs w:val="17"/>
              </w:rPr>
              <w:t>90</w:t>
            </w:r>
          </w:p>
        </w:tc>
        <w:tc>
          <w:tcPr>
            <w:tcW w:w="2370" w:type="dxa"/>
            <w:tcBorders>
              <w:tl2br w:val="nil"/>
              <w:tr2bl w:val="nil"/>
            </w:tcBorders>
            <w:shd w:val="clear" w:color="auto" w:fill="auto"/>
            <w:noWrap/>
            <w:tcMar>
              <w:top w:w="12" w:type="dxa"/>
              <w:left w:w="12" w:type="dxa"/>
              <w:right w:w="12" w:type="dxa"/>
            </w:tcMar>
            <w:vAlign w:val="center"/>
          </w:tcPr>
          <w:p w14:paraId="6AD2FC7B">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汽车电气系统的检修</w:t>
            </w:r>
          </w:p>
          <w:p w14:paraId="2FC432DB">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Inspection and Repair of Vehicle Electrical Systems</w:t>
            </w:r>
          </w:p>
        </w:tc>
        <w:tc>
          <w:tcPr>
            <w:tcW w:w="579" w:type="dxa"/>
            <w:tcBorders>
              <w:tl2br w:val="nil"/>
              <w:tr2bl w:val="nil"/>
            </w:tcBorders>
            <w:shd w:val="clear" w:color="auto" w:fill="auto"/>
            <w:tcMar>
              <w:top w:w="12" w:type="dxa"/>
              <w:left w:w="12" w:type="dxa"/>
              <w:right w:w="12" w:type="dxa"/>
            </w:tcMar>
            <w:vAlign w:val="center"/>
          </w:tcPr>
          <w:p w14:paraId="7511F64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7B5A2BF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7B40B3A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46B8CB4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12</w:t>
            </w:r>
          </w:p>
        </w:tc>
        <w:tc>
          <w:tcPr>
            <w:tcW w:w="558" w:type="dxa"/>
            <w:tcBorders>
              <w:tl2br w:val="nil"/>
              <w:tr2bl w:val="nil"/>
            </w:tcBorders>
            <w:shd w:val="clear" w:color="auto" w:fill="auto"/>
            <w:tcMar>
              <w:top w:w="12" w:type="dxa"/>
              <w:left w:w="12" w:type="dxa"/>
              <w:right w:w="12" w:type="dxa"/>
            </w:tcMar>
            <w:vAlign w:val="center"/>
          </w:tcPr>
          <w:p w14:paraId="092DF452">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72D1531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tcPr>
          <w:p w14:paraId="6CED32F7">
            <w:pPr>
              <w:widowControl/>
              <w:jc w:val="center"/>
              <w:textAlignment w:val="center"/>
              <w:rPr>
                <w:rFonts w:ascii="Times New Roman" w:hAnsi="Times New Roman" w:cs="Times New Roman"/>
                <w:bCs/>
                <w:kern w:val="0"/>
                <w:sz w:val="17"/>
                <w:szCs w:val="17"/>
              </w:rPr>
            </w:pPr>
          </w:p>
        </w:tc>
      </w:tr>
      <w:tr w14:paraId="4CC0F3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21EABBBB">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1A3EB0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0C3BD9A">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12252460</w:t>
            </w:r>
            <w:r>
              <w:rPr>
                <w:rFonts w:hint="eastAsia" w:ascii="Times New Roman" w:hAnsi="Times New Roman" w:eastAsia="宋体" w:cs="Times New Roman"/>
                <w:sz w:val="17"/>
                <w:szCs w:val="17"/>
              </w:rPr>
              <w:t>91</w:t>
            </w:r>
          </w:p>
        </w:tc>
        <w:tc>
          <w:tcPr>
            <w:tcW w:w="2370" w:type="dxa"/>
            <w:tcBorders>
              <w:tl2br w:val="nil"/>
              <w:tr2bl w:val="nil"/>
            </w:tcBorders>
            <w:shd w:val="clear" w:color="auto" w:fill="auto"/>
            <w:tcMar>
              <w:top w:w="12" w:type="dxa"/>
              <w:left w:w="12" w:type="dxa"/>
              <w:right w:w="12" w:type="dxa"/>
            </w:tcMar>
            <w:vAlign w:val="center"/>
          </w:tcPr>
          <w:p w14:paraId="4F545D8A">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新能源汽车电气系统检测</w:t>
            </w:r>
          </w:p>
          <w:p w14:paraId="573C3D56">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Detection of Electrical Systems in New Energy Vehicles</w:t>
            </w:r>
          </w:p>
        </w:tc>
        <w:tc>
          <w:tcPr>
            <w:tcW w:w="579" w:type="dxa"/>
            <w:tcBorders>
              <w:tl2br w:val="nil"/>
              <w:tr2bl w:val="nil"/>
            </w:tcBorders>
            <w:shd w:val="clear" w:color="auto" w:fill="auto"/>
            <w:tcMar>
              <w:top w:w="12" w:type="dxa"/>
              <w:left w:w="12" w:type="dxa"/>
              <w:right w:w="12" w:type="dxa"/>
            </w:tcMar>
            <w:vAlign w:val="center"/>
          </w:tcPr>
          <w:p w14:paraId="05A6B6E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28AD124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62BE861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23B4DFE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62232E77">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1E3EA14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tcPr>
          <w:p w14:paraId="08F783FA">
            <w:pPr>
              <w:widowControl/>
              <w:jc w:val="center"/>
              <w:textAlignment w:val="center"/>
              <w:rPr>
                <w:rFonts w:ascii="Times New Roman" w:hAnsi="Times New Roman" w:cs="Times New Roman"/>
                <w:bCs/>
                <w:kern w:val="0"/>
                <w:sz w:val="17"/>
                <w:szCs w:val="17"/>
              </w:rPr>
            </w:pPr>
          </w:p>
        </w:tc>
      </w:tr>
      <w:tr w14:paraId="2AFDDE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E2E9CC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3BA979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B6CEDC2">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12252460</w:t>
            </w:r>
            <w:r>
              <w:rPr>
                <w:rFonts w:hint="eastAsia" w:ascii="Times New Roman" w:hAnsi="Times New Roman" w:eastAsia="宋体" w:cs="Times New Roman"/>
                <w:sz w:val="17"/>
                <w:szCs w:val="17"/>
              </w:rPr>
              <w:t>92</w:t>
            </w:r>
          </w:p>
        </w:tc>
        <w:tc>
          <w:tcPr>
            <w:tcW w:w="2370" w:type="dxa"/>
            <w:tcBorders>
              <w:tl2br w:val="nil"/>
              <w:tr2bl w:val="nil"/>
            </w:tcBorders>
            <w:shd w:val="clear" w:color="auto" w:fill="auto"/>
            <w:tcMar>
              <w:top w:w="12" w:type="dxa"/>
              <w:left w:w="12" w:type="dxa"/>
              <w:right w:w="12" w:type="dxa"/>
            </w:tcMar>
            <w:vAlign w:val="center"/>
          </w:tcPr>
          <w:p w14:paraId="170D67FF">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电动汽车网络技术与电路分析</w:t>
            </w:r>
          </w:p>
          <w:p w14:paraId="0654E695">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Network Technology and Circuit Analysis of Electric Vehicles</w:t>
            </w:r>
          </w:p>
        </w:tc>
        <w:tc>
          <w:tcPr>
            <w:tcW w:w="579" w:type="dxa"/>
            <w:tcBorders>
              <w:tl2br w:val="nil"/>
              <w:tr2bl w:val="nil"/>
            </w:tcBorders>
            <w:shd w:val="clear" w:color="auto" w:fill="auto"/>
            <w:tcMar>
              <w:top w:w="12" w:type="dxa"/>
              <w:left w:w="12" w:type="dxa"/>
              <w:right w:w="12" w:type="dxa"/>
            </w:tcMar>
            <w:vAlign w:val="center"/>
          </w:tcPr>
          <w:p w14:paraId="17357D4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7A4B2F9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54E6099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70" w:type="dxa"/>
            <w:tcBorders>
              <w:tl2br w:val="nil"/>
              <w:tr2bl w:val="nil"/>
            </w:tcBorders>
            <w:shd w:val="clear" w:color="auto" w:fill="auto"/>
            <w:tcMar>
              <w:top w:w="12" w:type="dxa"/>
              <w:left w:w="12" w:type="dxa"/>
              <w:right w:w="12" w:type="dxa"/>
            </w:tcMar>
            <w:vAlign w:val="center"/>
          </w:tcPr>
          <w:p w14:paraId="228ABE3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58" w:type="dxa"/>
            <w:tcBorders>
              <w:tl2br w:val="nil"/>
              <w:tr2bl w:val="nil"/>
            </w:tcBorders>
            <w:shd w:val="clear" w:color="auto" w:fill="auto"/>
            <w:tcMar>
              <w:top w:w="12" w:type="dxa"/>
              <w:left w:w="12" w:type="dxa"/>
              <w:right w:w="12" w:type="dxa"/>
            </w:tcMar>
            <w:vAlign w:val="center"/>
          </w:tcPr>
          <w:p w14:paraId="7B949EF4">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C28BE4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5</w:t>
            </w:r>
          </w:p>
        </w:tc>
        <w:tc>
          <w:tcPr>
            <w:tcW w:w="1541" w:type="dxa"/>
            <w:tcBorders>
              <w:tl2br w:val="nil"/>
              <w:tr2bl w:val="nil"/>
            </w:tcBorders>
            <w:shd w:val="clear" w:color="auto" w:fill="auto"/>
            <w:tcMar>
              <w:top w:w="12" w:type="dxa"/>
              <w:left w:w="12" w:type="dxa"/>
              <w:right w:w="12" w:type="dxa"/>
            </w:tcMar>
          </w:tcPr>
          <w:p w14:paraId="6FA233B1">
            <w:pPr>
              <w:widowControl/>
              <w:jc w:val="center"/>
              <w:textAlignment w:val="center"/>
              <w:rPr>
                <w:rFonts w:ascii="Times New Roman" w:hAnsi="Times New Roman" w:cs="Times New Roman"/>
                <w:bCs/>
                <w:kern w:val="0"/>
                <w:sz w:val="17"/>
                <w:szCs w:val="17"/>
              </w:rPr>
            </w:pPr>
          </w:p>
        </w:tc>
      </w:tr>
      <w:tr w14:paraId="0FB68E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CC6C82A">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B425F3E">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5DFFB449">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12252460</w:t>
            </w:r>
            <w:r>
              <w:rPr>
                <w:rFonts w:hint="eastAsia" w:ascii="Times New Roman" w:hAnsi="Times New Roman" w:eastAsia="宋体" w:cs="Times New Roman"/>
                <w:sz w:val="17"/>
                <w:szCs w:val="17"/>
              </w:rPr>
              <w:t>93</w:t>
            </w:r>
          </w:p>
        </w:tc>
        <w:tc>
          <w:tcPr>
            <w:tcW w:w="2370" w:type="dxa"/>
            <w:tcBorders>
              <w:tl2br w:val="nil"/>
              <w:tr2bl w:val="nil"/>
            </w:tcBorders>
            <w:shd w:val="clear" w:color="auto" w:fill="auto"/>
            <w:tcMar>
              <w:top w:w="12" w:type="dxa"/>
              <w:left w:w="12" w:type="dxa"/>
              <w:right w:w="12" w:type="dxa"/>
            </w:tcMar>
            <w:vAlign w:val="center"/>
          </w:tcPr>
          <w:p w14:paraId="6A11F1C6">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环境感知技术</w:t>
            </w:r>
          </w:p>
          <w:p w14:paraId="33FD9E78">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Environmental Perception Technology</w:t>
            </w:r>
          </w:p>
        </w:tc>
        <w:tc>
          <w:tcPr>
            <w:tcW w:w="579" w:type="dxa"/>
            <w:tcBorders>
              <w:tl2br w:val="nil"/>
              <w:tr2bl w:val="nil"/>
            </w:tcBorders>
            <w:shd w:val="clear" w:color="auto" w:fill="auto"/>
            <w:tcMar>
              <w:top w:w="12" w:type="dxa"/>
              <w:left w:w="12" w:type="dxa"/>
              <w:right w:w="12" w:type="dxa"/>
            </w:tcMar>
            <w:vAlign w:val="center"/>
          </w:tcPr>
          <w:p w14:paraId="57A0BAF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028F46D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3DCA99D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5AFFD6E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193DD118">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6B541B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5</w:t>
            </w:r>
          </w:p>
        </w:tc>
        <w:tc>
          <w:tcPr>
            <w:tcW w:w="1541" w:type="dxa"/>
            <w:tcBorders>
              <w:tl2br w:val="nil"/>
              <w:tr2bl w:val="nil"/>
            </w:tcBorders>
            <w:shd w:val="clear" w:color="auto" w:fill="auto"/>
            <w:tcMar>
              <w:top w:w="12" w:type="dxa"/>
              <w:left w:w="12" w:type="dxa"/>
              <w:right w:w="12" w:type="dxa"/>
            </w:tcMar>
          </w:tcPr>
          <w:p w14:paraId="6EE64211">
            <w:pPr>
              <w:widowControl/>
              <w:jc w:val="center"/>
              <w:textAlignment w:val="center"/>
              <w:rPr>
                <w:rFonts w:ascii="Times New Roman" w:hAnsi="Times New Roman" w:cs="Times New Roman"/>
                <w:bCs/>
                <w:kern w:val="0"/>
                <w:sz w:val="17"/>
                <w:szCs w:val="17"/>
              </w:rPr>
            </w:pPr>
          </w:p>
        </w:tc>
      </w:tr>
      <w:tr w14:paraId="3B5B6A8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3380CD3">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20F17C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5F14B127">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12252460</w:t>
            </w:r>
            <w:r>
              <w:rPr>
                <w:rFonts w:hint="eastAsia" w:ascii="Times New Roman" w:hAnsi="Times New Roman" w:eastAsia="宋体" w:cs="Times New Roman"/>
                <w:sz w:val="17"/>
                <w:szCs w:val="17"/>
              </w:rPr>
              <w:t>94</w:t>
            </w:r>
          </w:p>
        </w:tc>
        <w:tc>
          <w:tcPr>
            <w:tcW w:w="2370" w:type="dxa"/>
            <w:tcBorders>
              <w:tl2br w:val="nil"/>
              <w:tr2bl w:val="nil"/>
            </w:tcBorders>
            <w:shd w:val="clear" w:color="auto" w:fill="auto"/>
            <w:tcMar>
              <w:top w:w="12" w:type="dxa"/>
              <w:left w:w="12" w:type="dxa"/>
              <w:right w:w="12" w:type="dxa"/>
            </w:tcMar>
            <w:vAlign w:val="center"/>
          </w:tcPr>
          <w:p w14:paraId="645BFB15">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先进驾驶辅助技术</w:t>
            </w:r>
          </w:p>
          <w:p w14:paraId="409412F0">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Advanced Driver Assistance Systems (ADAS)</w:t>
            </w:r>
          </w:p>
        </w:tc>
        <w:tc>
          <w:tcPr>
            <w:tcW w:w="579" w:type="dxa"/>
            <w:tcBorders>
              <w:tl2br w:val="nil"/>
              <w:tr2bl w:val="nil"/>
            </w:tcBorders>
            <w:shd w:val="clear" w:color="auto" w:fill="auto"/>
            <w:tcMar>
              <w:top w:w="12" w:type="dxa"/>
              <w:left w:w="12" w:type="dxa"/>
              <w:right w:w="12" w:type="dxa"/>
            </w:tcMar>
            <w:vAlign w:val="center"/>
          </w:tcPr>
          <w:p w14:paraId="5D27BC2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3DC5241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1A4E82D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06A0B58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6E38FBE2">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E66BAC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5</w:t>
            </w:r>
          </w:p>
        </w:tc>
        <w:tc>
          <w:tcPr>
            <w:tcW w:w="1541" w:type="dxa"/>
            <w:tcBorders>
              <w:tl2br w:val="nil"/>
              <w:tr2bl w:val="nil"/>
            </w:tcBorders>
            <w:shd w:val="clear" w:color="auto" w:fill="auto"/>
            <w:tcMar>
              <w:top w:w="12" w:type="dxa"/>
              <w:left w:w="12" w:type="dxa"/>
              <w:right w:w="12" w:type="dxa"/>
            </w:tcMar>
            <w:vAlign w:val="center"/>
          </w:tcPr>
          <w:p w14:paraId="57CCBAE3">
            <w:pPr>
              <w:widowControl/>
              <w:jc w:val="center"/>
              <w:textAlignment w:val="center"/>
              <w:rPr>
                <w:rFonts w:ascii="Times New Roman" w:hAnsi="Times New Roman" w:cs="Times New Roman"/>
                <w:bCs/>
                <w:kern w:val="0"/>
                <w:sz w:val="17"/>
                <w:szCs w:val="17"/>
              </w:rPr>
            </w:pPr>
          </w:p>
        </w:tc>
      </w:tr>
      <w:tr w14:paraId="3122F0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41731D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D2B5B7A">
            <w:pPr>
              <w:adjustRightInd w:val="0"/>
              <w:spacing w:line="200" w:lineRule="exact"/>
              <w:jc w:val="center"/>
              <w:rPr>
                <w:rFonts w:ascii="Times New Roman" w:hAnsi="Times New Roman" w:cs="Times New Roman"/>
                <w:bCs/>
                <w:kern w:val="0"/>
                <w:sz w:val="17"/>
                <w:szCs w:val="17"/>
              </w:rPr>
            </w:pPr>
          </w:p>
        </w:tc>
        <w:tc>
          <w:tcPr>
            <w:tcW w:w="8467" w:type="dxa"/>
            <w:gridSpan w:val="9"/>
            <w:tcBorders>
              <w:tl2br w:val="nil"/>
              <w:tr2bl w:val="nil"/>
            </w:tcBorders>
            <w:shd w:val="clear" w:color="auto" w:fill="auto"/>
            <w:tcMar>
              <w:top w:w="12" w:type="dxa"/>
              <w:left w:w="12" w:type="dxa"/>
              <w:right w:w="12" w:type="dxa"/>
            </w:tcMar>
            <w:vAlign w:val="center"/>
          </w:tcPr>
          <w:p w14:paraId="1D5BD2E1">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选修11学分</w:t>
            </w:r>
          </w:p>
        </w:tc>
      </w:tr>
      <w:tr w14:paraId="008BC6D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F69D9DC">
            <w:pPr>
              <w:adjustRightInd w:val="0"/>
              <w:spacing w:line="200" w:lineRule="exact"/>
              <w:jc w:val="center"/>
              <w:rPr>
                <w:rFonts w:ascii="Times New Roman" w:hAnsi="Times New Roman" w:cs="Times New Roman"/>
                <w:bCs/>
                <w:kern w:val="0"/>
                <w:sz w:val="17"/>
                <w:szCs w:val="17"/>
              </w:rPr>
            </w:pPr>
          </w:p>
        </w:tc>
        <w:tc>
          <w:tcPr>
            <w:tcW w:w="519" w:type="dxa"/>
            <w:vMerge w:val="restart"/>
            <w:tcBorders>
              <w:tl2br w:val="nil"/>
              <w:tr2bl w:val="nil"/>
            </w:tcBorders>
            <w:shd w:val="clear" w:color="auto" w:fill="auto"/>
            <w:tcMar>
              <w:top w:w="12" w:type="dxa"/>
              <w:left w:w="12" w:type="dxa"/>
              <w:right w:w="12" w:type="dxa"/>
            </w:tcMar>
            <w:vAlign w:val="center"/>
          </w:tcPr>
          <w:p w14:paraId="7E5FBF73">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3CF3BCE5">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任选</w:t>
            </w:r>
          </w:p>
          <w:p w14:paraId="7B4B65B4">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（拓展）课程</w:t>
            </w:r>
          </w:p>
        </w:tc>
        <w:tc>
          <w:tcPr>
            <w:tcW w:w="1221" w:type="dxa"/>
            <w:tcBorders>
              <w:tl2br w:val="nil"/>
              <w:tr2bl w:val="nil"/>
            </w:tcBorders>
            <w:shd w:val="clear" w:color="auto" w:fill="auto"/>
            <w:tcMar>
              <w:top w:w="12" w:type="dxa"/>
              <w:left w:w="12" w:type="dxa"/>
              <w:right w:w="12" w:type="dxa"/>
            </w:tcMar>
            <w:vAlign w:val="center"/>
          </w:tcPr>
          <w:p w14:paraId="2FD60E72">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1225246084</w:t>
            </w:r>
          </w:p>
        </w:tc>
        <w:tc>
          <w:tcPr>
            <w:tcW w:w="2370" w:type="dxa"/>
            <w:tcBorders>
              <w:tl2br w:val="nil"/>
              <w:tr2bl w:val="nil"/>
            </w:tcBorders>
            <w:shd w:val="clear" w:color="auto" w:fill="auto"/>
            <w:noWrap/>
            <w:tcMar>
              <w:top w:w="12" w:type="dxa"/>
              <w:left w:w="12" w:type="dxa"/>
              <w:right w:w="12" w:type="dxa"/>
            </w:tcMar>
            <w:vAlign w:val="center"/>
          </w:tcPr>
          <w:p w14:paraId="6625180A">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新能源汽车使用与维护</w:t>
            </w:r>
          </w:p>
          <w:p w14:paraId="168DAD49">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Operation and Maintenance of New Energy Vehicles</w:t>
            </w:r>
          </w:p>
        </w:tc>
        <w:tc>
          <w:tcPr>
            <w:tcW w:w="579" w:type="dxa"/>
            <w:tcBorders>
              <w:tl2br w:val="nil"/>
              <w:tr2bl w:val="nil"/>
            </w:tcBorders>
            <w:shd w:val="clear" w:color="auto" w:fill="auto"/>
            <w:noWrap/>
            <w:tcMar>
              <w:top w:w="12" w:type="dxa"/>
              <w:left w:w="12" w:type="dxa"/>
              <w:right w:w="12" w:type="dxa"/>
            </w:tcMar>
            <w:vAlign w:val="center"/>
          </w:tcPr>
          <w:p w14:paraId="2660839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3728AB1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6D2F07D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59F4125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01CEEB27">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1BD38F6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2799C52C">
            <w:pPr>
              <w:widowControl/>
              <w:jc w:val="center"/>
              <w:textAlignment w:val="center"/>
              <w:rPr>
                <w:rFonts w:ascii="Times New Roman" w:hAnsi="Times New Roman" w:cs="Times New Roman"/>
                <w:bCs/>
                <w:kern w:val="0"/>
                <w:sz w:val="17"/>
                <w:szCs w:val="17"/>
              </w:rPr>
            </w:pPr>
          </w:p>
        </w:tc>
      </w:tr>
      <w:tr w14:paraId="4DD8EB2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4087DED3">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62F4FCB">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36E7189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121</w:t>
            </w:r>
            <w:r>
              <w:rPr>
                <w:rFonts w:ascii="Times New Roman" w:hAnsi="Times New Roman" w:eastAsia="宋体" w:cs="Times New Roman"/>
                <w:sz w:val="17"/>
                <w:szCs w:val="17"/>
              </w:rPr>
              <w:t>2045832</w:t>
            </w:r>
          </w:p>
        </w:tc>
        <w:tc>
          <w:tcPr>
            <w:tcW w:w="2370" w:type="dxa"/>
            <w:tcBorders>
              <w:tl2br w:val="nil"/>
              <w:tr2bl w:val="nil"/>
            </w:tcBorders>
            <w:shd w:val="clear" w:color="auto" w:fill="auto"/>
            <w:noWrap/>
            <w:tcMar>
              <w:top w:w="12" w:type="dxa"/>
              <w:left w:w="12" w:type="dxa"/>
              <w:right w:w="12" w:type="dxa"/>
            </w:tcMar>
            <w:vAlign w:val="center"/>
          </w:tcPr>
          <w:p w14:paraId="26A58E13">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新能源汽车高压安全与防护</w:t>
            </w:r>
          </w:p>
          <w:p w14:paraId="697F4550">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High-Voltage Safety and Protection for New Energy Vehicles</w:t>
            </w:r>
          </w:p>
        </w:tc>
        <w:tc>
          <w:tcPr>
            <w:tcW w:w="579" w:type="dxa"/>
            <w:tcBorders>
              <w:tl2br w:val="nil"/>
              <w:tr2bl w:val="nil"/>
            </w:tcBorders>
            <w:shd w:val="clear" w:color="auto" w:fill="auto"/>
            <w:noWrap/>
            <w:tcMar>
              <w:top w:w="12" w:type="dxa"/>
              <w:left w:w="12" w:type="dxa"/>
              <w:right w:w="12" w:type="dxa"/>
            </w:tcMar>
            <w:vAlign w:val="center"/>
          </w:tcPr>
          <w:p w14:paraId="6F0E3F70">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357B67FA">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39F6F716">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26DC69A6">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5669E7F2">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C023F3A">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40A69A9A">
            <w:pPr>
              <w:widowControl/>
              <w:jc w:val="center"/>
              <w:textAlignment w:val="center"/>
              <w:rPr>
                <w:rFonts w:ascii="Times New Roman" w:hAnsi="Times New Roman" w:cs="Times New Roman"/>
                <w:bCs/>
                <w:kern w:val="0"/>
                <w:sz w:val="17"/>
                <w:szCs w:val="17"/>
              </w:rPr>
            </w:pPr>
          </w:p>
        </w:tc>
      </w:tr>
      <w:tr w14:paraId="7A2A30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01838D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9F2880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9E45E5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1215174001</w:t>
            </w:r>
          </w:p>
        </w:tc>
        <w:tc>
          <w:tcPr>
            <w:tcW w:w="2370" w:type="dxa"/>
            <w:tcBorders>
              <w:tl2br w:val="nil"/>
              <w:tr2bl w:val="nil"/>
            </w:tcBorders>
            <w:shd w:val="clear" w:color="auto" w:fill="auto"/>
            <w:noWrap/>
            <w:tcMar>
              <w:top w:w="12" w:type="dxa"/>
              <w:left w:w="12" w:type="dxa"/>
              <w:right w:w="12" w:type="dxa"/>
            </w:tcMar>
            <w:vAlign w:val="center"/>
          </w:tcPr>
          <w:p w14:paraId="7CD9B80C">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汽车专业英语</w:t>
            </w:r>
          </w:p>
          <w:p w14:paraId="54FF5F89">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English for Automobile Majors</w:t>
            </w:r>
          </w:p>
        </w:tc>
        <w:tc>
          <w:tcPr>
            <w:tcW w:w="579" w:type="dxa"/>
            <w:tcBorders>
              <w:tl2br w:val="nil"/>
              <w:tr2bl w:val="nil"/>
            </w:tcBorders>
            <w:shd w:val="clear" w:color="auto" w:fill="auto"/>
            <w:noWrap/>
            <w:tcMar>
              <w:top w:w="12" w:type="dxa"/>
              <w:left w:w="12" w:type="dxa"/>
              <w:right w:w="12" w:type="dxa"/>
            </w:tcMar>
            <w:vAlign w:val="center"/>
          </w:tcPr>
          <w:p w14:paraId="68A33ED8">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113751E1">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25860BF7">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3C496695">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0BACD3DA">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7A57B4C3">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277D4CE7">
            <w:pPr>
              <w:widowControl/>
              <w:jc w:val="center"/>
              <w:textAlignment w:val="center"/>
              <w:rPr>
                <w:rFonts w:ascii="Times New Roman" w:hAnsi="Times New Roman" w:cs="Times New Roman"/>
                <w:bCs/>
                <w:kern w:val="0"/>
                <w:sz w:val="17"/>
                <w:szCs w:val="17"/>
              </w:rPr>
            </w:pPr>
          </w:p>
        </w:tc>
      </w:tr>
      <w:tr w14:paraId="10399B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311562EC">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AB4508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A1625FF">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1225146081</w:t>
            </w:r>
          </w:p>
        </w:tc>
        <w:tc>
          <w:tcPr>
            <w:tcW w:w="2370" w:type="dxa"/>
            <w:tcBorders>
              <w:tl2br w:val="nil"/>
              <w:tr2bl w:val="nil"/>
            </w:tcBorders>
            <w:shd w:val="clear" w:color="auto" w:fill="auto"/>
            <w:noWrap/>
            <w:tcMar>
              <w:top w:w="12" w:type="dxa"/>
              <w:left w:w="12" w:type="dxa"/>
              <w:right w:w="12" w:type="dxa"/>
            </w:tcMar>
            <w:vAlign w:val="center"/>
          </w:tcPr>
          <w:p w14:paraId="4CBC2E6B">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汽车商务谈判</w:t>
            </w:r>
          </w:p>
          <w:p w14:paraId="0FCE2D71">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Vehicle Business Negotiation</w:t>
            </w:r>
          </w:p>
        </w:tc>
        <w:tc>
          <w:tcPr>
            <w:tcW w:w="579" w:type="dxa"/>
            <w:tcBorders>
              <w:tl2br w:val="nil"/>
              <w:tr2bl w:val="nil"/>
            </w:tcBorders>
            <w:shd w:val="clear" w:color="auto" w:fill="auto"/>
            <w:noWrap/>
            <w:tcMar>
              <w:top w:w="12" w:type="dxa"/>
              <w:left w:w="12" w:type="dxa"/>
              <w:right w:w="12" w:type="dxa"/>
            </w:tcMar>
            <w:vAlign w:val="center"/>
          </w:tcPr>
          <w:p w14:paraId="42448F41">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w:t>
            </w:r>
          </w:p>
        </w:tc>
        <w:tc>
          <w:tcPr>
            <w:tcW w:w="469" w:type="dxa"/>
            <w:tcBorders>
              <w:tl2br w:val="nil"/>
              <w:tr2bl w:val="nil"/>
            </w:tcBorders>
            <w:shd w:val="clear" w:color="auto" w:fill="auto"/>
            <w:noWrap/>
            <w:tcMar>
              <w:top w:w="12" w:type="dxa"/>
              <w:left w:w="12" w:type="dxa"/>
              <w:right w:w="12" w:type="dxa"/>
            </w:tcMar>
            <w:vAlign w:val="center"/>
          </w:tcPr>
          <w:p w14:paraId="5F3ACEE7">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40" w:type="dxa"/>
            <w:tcBorders>
              <w:tl2br w:val="nil"/>
              <w:tr2bl w:val="nil"/>
            </w:tcBorders>
            <w:shd w:val="clear" w:color="auto" w:fill="auto"/>
            <w:noWrap/>
            <w:tcMar>
              <w:top w:w="12" w:type="dxa"/>
              <w:left w:w="12" w:type="dxa"/>
              <w:right w:w="12" w:type="dxa"/>
            </w:tcMar>
            <w:vAlign w:val="center"/>
          </w:tcPr>
          <w:p w14:paraId="52C4354B">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70" w:type="dxa"/>
            <w:tcBorders>
              <w:tl2br w:val="nil"/>
              <w:tr2bl w:val="nil"/>
            </w:tcBorders>
            <w:shd w:val="clear" w:color="auto" w:fill="auto"/>
            <w:noWrap/>
            <w:tcMar>
              <w:top w:w="12" w:type="dxa"/>
              <w:left w:w="12" w:type="dxa"/>
              <w:right w:w="12" w:type="dxa"/>
            </w:tcMar>
            <w:vAlign w:val="center"/>
          </w:tcPr>
          <w:p w14:paraId="09B21D66">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0</w:t>
            </w:r>
          </w:p>
        </w:tc>
        <w:tc>
          <w:tcPr>
            <w:tcW w:w="558" w:type="dxa"/>
            <w:tcBorders>
              <w:tl2br w:val="nil"/>
              <w:tr2bl w:val="nil"/>
            </w:tcBorders>
            <w:shd w:val="clear" w:color="auto" w:fill="auto"/>
            <w:noWrap/>
            <w:tcMar>
              <w:top w:w="12" w:type="dxa"/>
              <w:left w:w="12" w:type="dxa"/>
              <w:right w:w="12" w:type="dxa"/>
            </w:tcMar>
            <w:vAlign w:val="center"/>
          </w:tcPr>
          <w:p w14:paraId="78AAB5B1">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D13C14D">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25982AE4">
            <w:pPr>
              <w:widowControl/>
              <w:jc w:val="center"/>
              <w:textAlignment w:val="center"/>
              <w:rPr>
                <w:rFonts w:ascii="Times New Roman" w:hAnsi="Times New Roman" w:cs="Times New Roman"/>
                <w:bCs/>
                <w:kern w:val="0"/>
                <w:sz w:val="17"/>
                <w:szCs w:val="17"/>
              </w:rPr>
            </w:pPr>
          </w:p>
        </w:tc>
      </w:tr>
      <w:tr w14:paraId="02A8C4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2E2D0FC">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27FFA4F9">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5DAFCD66">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1225146082</w:t>
            </w:r>
          </w:p>
        </w:tc>
        <w:tc>
          <w:tcPr>
            <w:tcW w:w="2370" w:type="dxa"/>
            <w:tcBorders>
              <w:tl2br w:val="nil"/>
              <w:tr2bl w:val="nil"/>
            </w:tcBorders>
            <w:shd w:val="clear" w:color="auto" w:fill="auto"/>
            <w:noWrap/>
            <w:tcMar>
              <w:top w:w="12" w:type="dxa"/>
              <w:left w:w="12" w:type="dxa"/>
              <w:right w:w="12" w:type="dxa"/>
            </w:tcMar>
            <w:vAlign w:val="center"/>
          </w:tcPr>
          <w:p w14:paraId="608F79B7">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智能网联汽车概论</w:t>
            </w:r>
          </w:p>
          <w:p w14:paraId="164C434E">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Introduction to Intelligent Connected Vehicles</w:t>
            </w:r>
          </w:p>
        </w:tc>
        <w:tc>
          <w:tcPr>
            <w:tcW w:w="579" w:type="dxa"/>
            <w:tcBorders>
              <w:tl2br w:val="nil"/>
              <w:tr2bl w:val="nil"/>
            </w:tcBorders>
            <w:shd w:val="clear" w:color="auto" w:fill="auto"/>
            <w:noWrap/>
            <w:tcMar>
              <w:top w:w="12" w:type="dxa"/>
              <w:left w:w="12" w:type="dxa"/>
              <w:right w:w="12" w:type="dxa"/>
            </w:tcMar>
            <w:vAlign w:val="center"/>
          </w:tcPr>
          <w:p w14:paraId="635A44E9">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w:t>
            </w:r>
          </w:p>
        </w:tc>
        <w:tc>
          <w:tcPr>
            <w:tcW w:w="469" w:type="dxa"/>
            <w:tcBorders>
              <w:tl2br w:val="nil"/>
              <w:tr2bl w:val="nil"/>
            </w:tcBorders>
            <w:shd w:val="clear" w:color="auto" w:fill="auto"/>
            <w:noWrap/>
            <w:tcMar>
              <w:top w:w="12" w:type="dxa"/>
              <w:left w:w="12" w:type="dxa"/>
              <w:right w:w="12" w:type="dxa"/>
            </w:tcMar>
            <w:vAlign w:val="center"/>
          </w:tcPr>
          <w:p w14:paraId="7C5EB20D">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40" w:type="dxa"/>
            <w:tcBorders>
              <w:tl2br w:val="nil"/>
              <w:tr2bl w:val="nil"/>
            </w:tcBorders>
            <w:shd w:val="clear" w:color="auto" w:fill="auto"/>
            <w:noWrap/>
            <w:tcMar>
              <w:top w:w="12" w:type="dxa"/>
              <w:left w:w="12" w:type="dxa"/>
              <w:right w:w="12" w:type="dxa"/>
            </w:tcMar>
            <w:vAlign w:val="center"/>
          </w:tcPr>
          <w:p w14:paraId="719A0E24">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70" w:type="dxa"/>
            <w:tcBorders>
              <w:tl2br w:val="nil"/>
              <w:tr2bl w:val="nil"/>
            </w:tcBorders>
            <w:shd w:val="clear" w:color="auto" w:fill="auto"/>
            <w:noWrap/>
            <w:tcMar>
              <w:top w:w="12" w:type="dxa"/>
              <w:left w:w="12" w:type="dxa"/>
              <w:right w:w="12" w:type="dxa"/>
            </w:tcMar>
            <w:vAlign w:val="center"/>
          </w:tcPr>
          <w:p w14:paraId="088D1817">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0</w:t>
            </w:r>
          </w:p>
        </w:tc>
        <w:tc>
          <w:tcPr>
            <w:tcW w:w="558" w:type="dxa"/>
            <w:tcBorders>
              <w:tl2br w:val="nil"/>
              <w:tr2bl w:val="nil"/>
            </w:tcBorders>
            <w:shd w:val="clear" w:color="auto" w:fill="auto"/>
            <w:noWrap/>
            <w:tcMar>
              <w:top w:w="12" w:type="dxa"/>
              <w:left w:w="12" w:type="dxa"/>
              <w:right w:w="12" w:type="dxa"/>
            </w:tcMar>
            <w:vAlign w:val="center"/>
          </w:tcPr>
          <w:p w14:paraId="6870F04E">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51A1C041">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1D70CD3F">
            <w:pPr>
              <w:widowControl/>
              <w:jc w:val="center"/>
              <w:textAlignment w:val="center"/>
              <w:rPr>
                <w:rFonts w:ascii="Times New Roman" w:hAnsi="Times New Roman" w:cs="Times New Roman"/>
                <w:bCs/>
                <w:kern w:val="0"/>
                <w:sz w:val="17"/>
                <w:szCs w:val="17"/>
              </w:rPr>
            </w:pPr>
          </w:p>
        </w:tc>
      </w:tr>
      <w:tr w14:paraId="7D6CAF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C67EFEB">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8AF59C6">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48AB7553">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1225146083</w:t>
            </w:r>
          </w:p>
        </w:tc>
        <w:tc>
          <w:tcPr>
            <w:tcW w:w="2370" w:type="dxa"/>
            <w:tcBorders>
              <w:tl2br w:val="nil"/>
              <w:tr2bl w:val="nil"/>
            </w:tcBorders>
            <w:shd w:val="clear" w:color="auto" w:fill="auto"/>
            <w:noWrap/>
            <w:tcMar>
              <w:top w:w="12" w:type="dxa"/>
              <w:left w:w="12" w:type="dxa"/>
              <w:right w:w="12" w:type="dxa"/>
            </w:tcMar>
            <w:vAlign w:val="center"/>
          </w:tcPr>
          <w:p w14:paraId="26D364E8">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汽车维修企业管理</w:t>
            </w:r>
          </w:p>
          <w:p w14:paraId="471D3D7D">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Vehicle Maintenance Enterprise Management</w:t>
            </w:r>
          </w:p>
        </w:tc>
        <w:tc>
          <w:tcPr>
            <w:tcW w:w="579" w:type="dxa"/>
            <w:tcBorders>
              <w:tl2br w:val="nil"/>
              <w:tr2bl w:val="nil"/>
            </w:tcBorders>
            <w:shd w:val="clear" w:color="auto" w:fill="auto"/>
            <w:noWrap/>
            <w:tcMar>
              <w:top w:w="12" w:type="dxa"/>
              <w:left w:w="12" w:type="dxa"/>
              <w:right w:w="12" w:type="dxa"/>
            </w:tcMar>
            <w:vAlign w:val="center"/>
          </w:tcPr>
          <w:p w14:paraId="34D8F3CF">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w:t>
            </w:r>
          </w:p>
        </w:tc>
        <w:tc>
          <w:tcPr>
            <w:tcW w:w="469" w:type="dxa"/>
            <w:tcBorders>
              <w:tl2br w:val="nil"/>
              <w:tr2bl w:val="nil"/>
            </w:tcBorders>
            <w:shd w:val="clear" w:color="auto" w:fill="auto"/>
            <w:noWrap/>
            <w:tcMar>
              <w:top w:w="12" w:type="dxa"/>
              <w:left w:w="12" w:type="dxa"/>
              <w:right w:w="12" w:type="dxa"/>
            </w:tcMar>
            <w:vAlign w:val="center"/>
          </w:tcPr>
          <w:p w14:paraId="5D4BE587">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40" w:type="dxa"/>
            <w:tcBorders>
              <w:tl2br w:val="nil"/>
              <w:tr2bl w:val="nil"/>
            </w:tcBorders>
            <w:shd w:val="clear" w:color="auto" w:fill="auto"/>
            <w:noWrap/>
            <w:tcMar>
              <w:top w:w="12" w:type="dxa"/>
              <w:left w:w="12" w:type="dxa"/>
              <w:right w:w="12" w:type="dxa"/>
            </w:tcMar>
            <w:vAlign w:val="center"/>
          </w:tcPr>
          <w:p w14:paraId="3AADC7F8">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16</w:t>
            </w:r>
          </w:p>
        </w:tc>
        <w:tc>
          <w:tcPr>
            <w:tcW w:w="570" w:type="dxa"/>
            <w:tcBorders>
              <w:tl2br w:val="nil"/>
              <w:tr2bl w:val="nil"/>
            </w:tcBorders>
            <w:shd w:val="clear" w:color="auto" w:fill="auto"/>
            <w:noWrap/>
            <w:tcMar>
              <w:top w:w="12" w:type="dxa"/>
              <w:left w:w="12" w:type="dxa"/>
              <w:right w:w="12" w:type="dxa"/>
            </w:tcMar>
            <w:vAlign w:val="center"/>
          </w:tcPr>
          <w:p w14:paraId="5902CC85">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0</w:t>
            </w:r>
          </w:p>
        </w:tc>
        <w:tc>
          <w:tcPr>
            <w:tcW w:w="558" w:type="dxa"/>
            <w:tcBorders>
              <w:tl2br w:val="nil"/>
              <w:tr2bl w:val="nil"/>
            </w:tcBorders>
            <w:shd w:val="clear" w:color="auto" w:fill="auto"/>
            <w:noWrap/>
            <w:tcMar>
              <w:top w:w="12" w:type="dxa"/>
              <w:left w:w="12" w:type="dxa"/>
              <w:right w:w="12" w:type="dxa"/>
            </w:tcMar>
            <w:vAlign w:val="center"/>
          </w:tcPr>
          <w:p w14:paraId="3D33C6D3">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58E1E9AA">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164B7B32">
            <w:pPr>
              <w:widowControl/>
              <w:jc w:val="center"/>
              <w:textAlignment w:val="center"/>
              <w:rPr>
                <w:rFonts w:ascii="Times New Roman" w:hAnsi="Times New Roman" w:eastAsia="宋体" w:cs="Times New Roman"/>
                <w:kern w:val="0"/>
                <w:sz w:val="17"/>
                <w:szCs w:val="17"/>
                <w:lang w:bidi="ar"/>
              </w:rPr>
            </w:pPr>
          </w:p>
        </w:tc>
      </w:tr>
      <w:tr w14:paraId="6897A7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F2B5B0E">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F914D87">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0C5EED5D">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1225246085</w:t>
            </w:r>
          </w:p>
        </w:tc>
        <w:tc>
          <w:tcPr>
            <w:tcW w:w="2370" w:type="dxa"/>
            <w:tcBorders>
              <w:tl2br w:val="nil"/>
              <w:tr2bl w:val="nil"/>
            </w:tcBorders>
            <w:shd w:val="clear" w:color="auto" w:fill="auto"/>
            <w:noWrap/>
            <w:tcMar>
              <w:top w:w="12" w:type="dxa"/>
              <w:left w:w="12" w:type="dxa"/>
              <w:right w:w="12" w:type="dxa"/>
            </w:tcMar>
            <w:vAlign w:val="center"/>
          </w:tcPr>
          <w:p w14:paraId="67590415">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汽车安全与舒适系统检修</w:t>
            </w:r>
          </w:p>
          <w:p w14:paraId="02AC2E69">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Inspection and Repair of Vehicle Safety and Comfort Systems</w:t>
            </w:r>
          </w:p>
        </w:tc>
        <w:tc>
          <w:tcPr>
            <w:tcW w:w="579" w:type="dxa"/>
            <w:tcBorders>
              <w:tl2br w:val="nil"/>
              <w:tr2bl w:val="nil"/>
            </w:tcBorders>
            <w:shd w:val="clear" w:color="auto" w:fill="auto"/>
            <w:noWrap/>
            <w:tcMar>
              <w:top w:w="12" w:type="dxa"/>
              <w:left w:w="12" w:type="dxa"/>
              <w:right w:w="12" w:type="dxa"/>
            </w:tcMar>
            <w:vAlign w:val="center"/>
          </w:tcPr>
          <w:p w14:paraId="43ACE48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3D9E91C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5F52CB7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57CFBEB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6203D937">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74AE01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66C41236">
            <w:pPr>
              <w:widowControl/>
              <w:jc w:val="center"/>
              <w:textAlignment w:val="center"/>
              <w:rPr>
                <w:rFonts w:ascii="Times New Roman" w:hAnsi="Times New Roman" w:eastAsia="宋体" w:cs="Times New Roman"/>
                <w:kern w:val="0"/>
                <w:sz w:val="17"/>
                <w:szCs w:val="17"/>
                <w:lang w:bidi="ar"/>
              </w:rPr>
            </w:pPr>
          </w:p>
        </w:tc>
      </w:tr>
      <w:tr w14:paraId="6A9F7E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0A56910">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5C103F7">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5A0EDF6B">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1225246086</w:t>
            </w:r>
          </w:p>
        </w:tc>
        <w:tc>
          <w:tcPr>
            <w:tcW w:w="2370" w:type="dxa"/>
            <w:tcBorders>
              <w:tl2br w:val="nil"/>
              <w:tr2bl w:val="nil"/>
            </w:tcBorders>
            <w:shd w:val="clear" w:color="auto" w:fill="auto"/>
            <w:noWrap/>
            <w:tcMar>
              <w:top w:w="12" w:type="dxa"/>
              <w:left w:w="12" w:type="dxa"/>
              <w:right w:w="12" w:type="dxa"/>
            </w:tcMar>
            <w:vAlign w:val="center"/>
          </w:tcPr>
          <w:p w14:paraId="1FE3173F">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汽车单片机技术</w:t>
            </w:r>
          </w:p>
          <w:p w14:paraId="22D531FD">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Vehicle Single-Chip Microcomputer Technology</w:t>
            </w:r>
          </w:p>
        </w:tc>
        <w:tc>
          <w:tcPr>
            <w:tcW w:w="579" w:type="dxa"/>
            <w:tcBorders>
              <w:tl2br w:val="nil"/>
              <w:tr2bl w:val="nil"/>
            </w:tcBorders>
            <w:shd w:val="clear" w:color="auto" w:fill="auto"/>
            <w:noWrap/>
            <w:tcMar>
              <w:top w:w="12" w:type="dxa"/>
              <w:left w:w="12" w:type="dxa"/>
              <w:right w:w="12" w:type="dxa"/>
            </w:tcMar>
            <w:vAlign w:val="center"/>
          </w:tcPr>
          <w:p w14:paraId="7F43A16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11B02FB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434D683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029B910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40C0D948">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F165FC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654DC262">
            <w:pPr>
              <w:widowControl/>
              <w:jc w:val="center"/>
              <w:textAlignment w:val="center"/>
              <w:rPr>
                <w:rFonts w:ascii="Times New Roman" w:hAnsi="Times New Roman" w:cs="Times New Roman"/>
                <w:bCs/>
                <w:kern w:val="0"/>
                <w:sz w:val="17"/>
                <w:szCs w:val="17"/>
              </w:rPr>
            </w:pPr>
          </w:p>
        </w:tc>
      </w:tr>
      <w:tr w14:paraId="5632EE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B8C91D6">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1AF7C09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720C988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12</w:t>
            </w:r>
            <w:r>
              <w:rPr>
                <w:rFonts w:ascii="Times New Roman" w:hAnsi="Times New Roman" w:eastAsia="宋体" w:cs="Times New Roman"/>
                <w:sz w:val="17"/>
                <w:szCs w:val="17"/>
              </w:rPr>
              <w:t>25</w:t>
            </w:r>
            <w:r>
              <w:rPr>
                <w:rFonts w:hint="eastAsia" w:ascii="Times New Roman" w:hAnsi="Times New Roman" w:eastAsia="宋体" w:cs="Times New Roman"/>
                <w:sz w:val="17"/>
                <w:szCs w:val="17"/>
              </w:rPr>
              <w:t>302032</w:t>
            </w:r>
          </w:p>
        </w:tc>
        <w:tc>
          <w:tcPr>
            <w:tcW w:w="2370" w:type="dxa"/>
            <w:tcBorders>
              <w:tl2br w:val="nil"/>
              <w:tr2bl w:val="nil"/>
            </w:tcBorders>
            <w:shd w:val="clear" w:color="auto" w:fill="auto"/>
            <w:noWrap/>
            <w:tcMar>
              <w:top w:w="12" w:type="dxa"/>
              <w:left w:w="12" w:type="dxa"/>
              <w:right w:w="12" w:type="dxa"/>
            </w:tcMar>
            <w:vAlign w:val="center"/>
          </w:tcPr>
          <w:p w14:paraId="223737FA">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汽车网络营销</w:t>
            </w:r>
          </w:p>
          <w:p w14:paraId="05F66B7B">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Vehicle Online Marketing</w:t>
            </w:r>
          </w:p>
        </w:tc>
        <w:tc>
          <w:tcPr>
            <w:tcW w:w="579" w:type="dxa"/>
            <w:tcBorders>
              <w:tl2br w:val="nil"/>
              <w:tr2bl w:val="nil"/>
            </w:tcBorders>
            <w:shd w:val="clear" w:color="auto" w:fill="auto"/>
            <w:noWrap/>
            <w:tcMar>
              <w:top w:w="12" w:type="dxa"/>
              <w:left w:w="12" w:type="dxa"/>
              <w:right w:w="12" w:type="dxa"/>
            </w:tcMar>
            <w:vAlign w:val="center"/>
          </w:tcPr>
          <w:p w14:paraId="1D00DF9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3AAB849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196F8D6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026273D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51A3408C">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0727DE6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0063078A">
            <w:pPr>
              <w:widowControl/>
              <w:jc w:val="center"/>
              <w:textAlignment w:val="center"/>
              <w:rPr>
                <w:rFonts w:ascii="Times New Roman" w:hAnsi="Times New Roman" w:cs="Times New Roman"/>
                <w:bCs/>
                <w:kern w:val="0"/>
                <w:sz w:val="17"/>
                <w:szCs w:val="17"/>
              </w:rPr>
            </w:pPr>
          </w:p>
        </w:tc>
      </w:tr>
      <w:tr w14:paraId="08F901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A867A49">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3BAADCE">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C1D67CB">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1225246088</w:t>
            </w:r>
          </w:p>
        </w:tc>
        <w:tc>
          <w:tcPr>
            <w:tcW w:w="2370" w:type="dxa"/>
            <w:tcBorders>
              <w:tl2br w:val="nil"/>
              <w:tr2bl w:val="nil"/>
            </w:tcBorders>
            <w:shd w:val="clear" w:color="auto" w:fill="auto"/>
            <w:noWrap/>
            <w:tcMar>
              <w:top w:w="12" w:type="dxa"/>
              <w:left w:w="12" w:type="dxa"/>
              <w:right w:w="12" w:type="dxa"/>
            </w:tcMar>
            <w:vAlign w:val="center"/>
          </w:tcPr>
          <w:p w14:paraId="52126F97">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电动汽车充电设施运营与维护</w:t>
            </w:r>
          </w:p>
          <w:p w14:paraId="235EB7BC">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Operation and Maintenance of Electric Vehicle Charging Facilities</w:t>
            </w:r>
          </w:p>
        </w:tc>
        <w:tc>
          <w:tcPr>
            <w:tcW w:w="579" w:type="dxa"/>
            <w:tcBorders>
              <w:tl2br w:val="nil"/>
              <w:tr2bl w:val="nil"/>
            </w:tcBorders>
            <w:shd w:val="clear" w:color="auto" w:fill="auto"/>
            <w:noWrap/>
            <w:tcMar>
              <w:top w:w="12" w:type="dxa"/>
              <w:left w:w="12" w:type="dxa"/>
              <w:right w:w="12" w:type="dxa"/>
            </w:tcMar>
            <w:vAlign w:val="center"/>
          </w:tcPr>
          <w:p w14:paraId="4F35F5F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176394D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0FB41E8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087509EC">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2830A799">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80FE9F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tcPr>
          <w:p w14:paraId="37C8CF6E">
            <w:pPr>
              <w:widowControl/>
              <w:jc w:val="center"/>
              <w:textAlignment w:val="center"/>
              <w:rPr>
                <w:rFonts w:ascii="Times New Roman" w:hAnsi="Times New Roman" w:cs="Times New Roman"/>
                <w:bCs/>
                <w:kern w:val="0"/>
                <w:sz w:val="17"/>
                <w:szCs w:val="17"/>
              </w:rPr>
            </w:pPr>
          </w:p>
        </w:tc>
      </w:tr>
      <w:tr w14:paraId="2618AC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A987660">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79740EA2">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3D29E365">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1225246016</w:t>
            </w:r>
          </w:p>
        </w:tc>
        <w:tc>
          <w:tcPr>
            <w:tcW w:w="2370" w:type="dxa"/>
            <w:tcBorders>
              <w:tl2br w:val="nil"/>
              <w:tr2bl w:val="nil"/>
            </w:tcBorders>
            <w:shd w:val="clear" w:color="auto" w:fill="auto"/>
            <w:noWrap/>
            <w:tcMar>
              <w:top w:w="12" w:type="dxa"/>
              <w:left w:w="12" w:type="dxa"/>
              <w:right w:w="12" w:type="dxa"/>
            </w:tcMar>
            <w:vAlign w:val="center"/>
          </w:tcPr>
          <w:p w14:paraId="558E4C1C">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 xml:space="preserve">汽车保险与理赔 </w:t>
            </w:r>
          </w:p>
          <w:p w14:paraId="6927E143">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Car Insurance and Claims Settlement</w:t>
            </w:r>
          </w:p>
        </w:tc>
        <w:tc>
          <w:tcPr>
            <w:tcW w:w="579" w:type="dxa"/>
            <w:tcBorders>
              <w:tl2br w:val="nil"/>
              <w:tr2bl w:val="nil"/>
            </w:tcBorders>
            <w:shd w:val="clear" w:color="auto" w:fill="auto"/>
            <w:noWrap/>
            <w:tcMar>
              <w:top w:w="12" w:type="dxa"/>
              <w:left w:w="12" w:type="dxa"/>
              <w:right w:w="12" w:type="dxa"/>
            </w:tcMar>
            <w:vAlign w:val="center"/>
          </w:tcPr>
          <w:p w14:paraId="3FE90D11">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39C4607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74D3E96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01CDAA3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48D83A79">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42F7545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1765E67C">
            <w:pPr>
              <w:widowControl/>
              <w:jc w:val="center"/>
              <w:textAlignment w:val="center"/>
              <w:rPr>
                <w:rFonts w:ascii="Times New Roman" w:hAnsi="Times New Roman" w:cs="Times New Roman"/>
                <w:bCs/>
                <w:kern w:val="0"/>
                <w:sz w:val="17"/>
                <w:szCs w:val="17"/>
              </w:rPr>
            </w:pPr>
          </w:p>
        </w:tc>
      </w:tr>
      <w:tr w14:paraId="6ED55DE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ED67447">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3A3E2ADC">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52892519">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1225246020</w:t>
            </w:r>
          </w:p>
        </w:tc>
        <w:tc>
          <w:tcPr>
            <w:tcW w:w="2370" w:type="dxa"/>
            <w:tcBorders>
              <w:tl2br w:val="nil"/>
              <w:tr2bl w:val="nil"/>
            </w:tcBorders>
            <w:shd w:val="clear" w:color="auto" w:fill="auto"/>
            <w:noWrap/>
            <w:tcMar>
              <w:top w:w="12" w:type="dxa"/>
              <w:left w:w="12" w:type="dxa"/>
              <w:right w:w="12" w:type="dxa"/>
            </w:tcMar>
            <w:vAlign w:val="center"/>
          </w:tcPr>
          <w:p w14:paraId="535A3B98">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二手车鉴定与评估</w:t>
            </w:r>
          </w:p>
          <w:p w14:paraId="64090B5A">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Identification and Evaluation of Used Cars</w:t>
            </w:r>
          </w:p>
        </w:tc>
        <w:tc>
          <w:tcPr>
            <w:tcW w:w="579" w:type="dxa"/>
            <w:tcBorders>
              <w:tl2br w:val="nil"/>
              <w:tr2bl w:val="nil"/>
            </w:tcBorders>
            <w:shd w:val="clear" w:color="auto" w:fill="auto"/>
            <w:noWrap/>
            <w:tcMar>
              <w:top w:w="12" w:type="dxa"/>
              <w:left w:w="12" w:type="dxa"/>
              <w:right w:w="12" w:type="dxa"/>
            </w:tcMar>
            <w:vAlign w:val="center"/>
          </w:tcPr>
          <w:p w14:paraId="0818D51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noWrap/>
            <w:tcMar>
              <w:top w:w="12" w:type="dxa"/>
              <w:left w:w="12" w:type="dxa"/>
              <w:right w:w="12" w:type="dxa"/>
            </w:tcMar>
            <w:vAlign w:val="center"/>
          </w:tcPr>
          <w:p w14:paraId="6F3D6C3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noWrap/>
            <w:tcMar>
              <w:top w:w="12" w:type="dxa"/>
              <w:left w:w="12" w:type="dxa"/>
              <w:right w:w="12" w:type="dxa"/>
            </w:tcMar>
            <w:vAlign w:val="center"/>
          </w:tcPr>
          <w:p w14:paraId="02E8D7E1">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noWrap/>
            <w:tcMar>
              <w:top w:w="12" w:type="dxa"/>
              <w:left w:w="12" w:type="dxa"/>
              <w:right w:w="12" w:type="dxa"/>
            </w:tcMar>
            <w:vAlign w:val="center"/>
          </w:tcPr>
          <w:p w14:paraId="5703428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7C3FCE72">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tcMar>
              <w:top w:w="12" w:type="dxa"/>
              <w:left w:w="12" w:type="dxa"/>
              <w:right w:w="12" w:type="dxa"/>
            </w:tcMar>
            <w:vAlign w:val="center"/>
          </w:tcPr>
          <w:p w14:paraId="3875601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tcMar>
              <w:top w:w="12" w:type="dxa"/>
              <w:left w:w="12" w:type="dxa"/>
              <w:right w:w="12" w:type="dxa"/>
            </w:tcMar>
            <w:vAlign w:val="center"/>
          </w:tcPr>
          <w:p w14:paraId="2C228684">
            <w:pPr>
              <w:widowControl/>
              <w:jc w:val="center"/>
              <w:textAlignment w:val="center"/>
              <w:rPr>
                <w:rFonts w:ascii="Times New Roman" w:hAnsi="Times New Roman" w:cs="Times New Roman"/>
                <w:bCs/>
                <w:kern w:val="0"/>
                <w:sz w:val="17"/>
                <w:szCs w:val="17"/>
              </w:rPr>
            </w:pPr>
          </w:p>
        </w:tc>
      </w:tr>
      <w:tr w14:paraId="6E0A3C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1E95AFC7">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5D65B5A5">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05288A1E">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1225246089</w:t>
            </w:r>
          </w:p>
        </w:tc>
        <w:tc>
          <w:tcPr>
            <w:tcW w:w="2370" w:type="dxa"/>
            <w:tcBorders>
              <w:tl2br w:val="nil"/>
              <w:tr2bl w:val="nil"/>
            </w:tcBorders>
            <w:shd w:val="clear" w:color="auto" w:fill="auto"/>
            <w:tcMar>
              <w:top w:w="12" w:type="dxa"/>
              <w:left w:w="12" w:type="dxa"/>
              <w:right w:w="12" w:type="dxa"/>
            </w:tcMar>
            <w:vAlign w:val="center"/>
          </w:tcPr>
          <w:p w14:paraId="7456D0EF">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汽车维修接待实务汽车</w:t>
            </w:r>
          </w:p>
          <w:p w14:paraId="2EE113ED">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Vehicle Maintenance Reception Practice</w:t>
            </w:r>
          </w:p>
        </w:tc>
        <w:tc>
          <w:tcPr>
            <w:tcW w:w="579" w:type="dxa"/>
            <w:tcBorders>
              <w:tl2br w:val="nil"/>
              <w:tr2bl w:val="nil"/>
            </w:tcBorders>
            <w:shd w:val="clear" w:color="auto" w:fill="auto"/>
            <w:tcMar>
              <w:top w:w="12" w:type="dxa"/>
              <w:left w:w="12" w:type="dxa"/>
              <w:right w:w="12" w:type="dxa"/>
            </w:tcMar>
            <w:vAlign w:val="center"/>
          </w:tcPr>
          <w:p w14:paraId="2F1AAB4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469" w:type="dxa"/>
            <w:tcBorders>
              <w:tl2br w:val="nil"/>
              <w:tr2bl w:val="nil"/>
            </w:tcBorders>
            <w:shd w:val="clear" w:color="auto" w:fill="auto"/>
            <w:tcMar>
              <w:top w:w="12" w:type="dxa"/>
              <w:left w:w="12" w:type="dxa"/>
              <w:right w:w="12" w:type="dxa"/>
            </w:tcMar>
            <w:vAlign w:val="center"/>
          </w:tcPr>
          <w:p w14:paraId="3C3AB3C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w:t>
            </w:r>
          </w:p>
        </w:tc>
        <w:tc>
          <w:tcPr>
            <w:tcW w:w="540" w:type="dxa"/>
            <w:tcBorders>
              <w:tl2br w:val="nil"/>
              <w:tr2bl w:val="nil"/>
            </w:tcBorders>
            <w:shd w:val="clear" w:color="auto" w:fill="auto"/>
            <w:tcMar>
              <w:top w:w="12" w:type="dxa"/>
              <w:left w:w="12" w:type="dxa"/>
              <w:right w:w="12" w:type="dxa"/>
            </w:tcMar>
            <w:vAlign w:val="center"/>
          </w:tcPr>
          <w:p w14:paraId="6FEA8E2A">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24</w:t>
            </w:r>
          </w:p>
        </w:tc>
        <w:tc>
          <w:tcPr>
            <w:tcW w:w="570" w:type="dxa"/>
            <w:tcBorders>
              <w:tl2br w:val="nil"/>
              <w:tr2bl w:val="nil"/>
            </w:tcBorders>
            <w:shd w:val="clear" w:color="auto" w:fill="auto"/>
            <w:tcMar>
              <w:top w:w="12" w:type="dxa"/>
              <w:left w:w="12" w:type="dxa"/>
              <w:right w:w="12" w:type="dxa"/>
            </w:tcMar>
            <w:vAlign w:val="center"/>
          </w:tcPr>
          <w:p w14:paraId="36554DF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307CB143">
            <w:pPr>
              <w:widowControl/>
              <w:jc w:val="center"/>
              <w:textAlignment w:val="center"/>
              <w:rPr>
                <w:rFonts w:ascii="Times New Roman" w:hAnsi="Times New Roman" w:eastAsia="宋体" w:cs="Times New Roman"/>
                <w:sz w:val="17"/>
                <w:szCs w:val="17"/>
              </w:rPr>
            </w:pPr>
            <w:r>
              <w:rPr>
                <w:rFonts w:hint="eastAsia" w:ascii="宋体" w:hAnsi="宋体" w:eastAsia="宋体" w:cs="宋体"/>
                <w:color w:val="000000"/>
                <w:kern w:val="0"/>
                <w:sz w:val="17"/>
                <w:szCs w:val="17"/>
                <w:lang w:bidi="ar"/>
              </w:rPr>
              <w:t>考查</w:t>
            </w:r>
          </w:p>
        </w:tc>
        <w:tc>
          <w:tcPr>
            <w:tcW w:w="619" w:type="dxa"/>
            <w:tcBorders>
              <w:tl2br w:val="nil"/>
              <w:tr2bl w:val="nil"/>
            </w:tcBorders>
            <w:shd w:val="clear" w:color="auto" w:fill="auto"/>
            <w:noWrap/>
            <w:tcMar>
              <w:top w:w="12" w:type="dxa"/>
              <w:left w:w="12" w:type="dxa"/>
              <w:right w:w="12" w:type="dxa"/>
            </w:tcMar>
            <w:vAlign w:val="center"/>
          </w:tcPr>
          <w:p w14:paraId="10D11D9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5</w:t>
            </w:r>
          </w:p>
        </w:tc>
        <w:tc>
          <w:tcPr>
            <w:tcW w:w="1541" w:type="dxa"/>
            <w:tcBorders>
              <w:tl2br w:val="nil"/>
              <w:tr2bl w:val="nil"/>
            </w:tcBorders>
            <w:shd w:val="clear" w:color="auto" w:fill="auto"/>
            <w:noWrap/>
            <w:tcMar>
              <w:top w:w="12" w:type="dxa"/>
              <w:left w:w="12" w:type="dxa"/>
              <w:right w:w="12" w:type="dxa"/>
            </w:tcMar>
            <w:vAlign w:val="center"/>
          </w:tcPr>
          <w:p w14:paraId="160C059B">
            <w:pPr>
              <w:widowControl/>
              <w:jc w:val="center"/>
              <w:textAlignment w:val="center"/>
              <w:rPr>
                <w:rFonts w:ascii="Times New Roman" w:hAnsi="Times New Roman" w:cs="Times New Roman"/>
                <w:bCs/>
                <w:kern w:val="0"/>
                <w:sz w:val="17"/>
                <w:szCs w:val="17"/>
              </w:rPr>
            </w:pPr>
          </w:p>
        </w:tc>
      </w:tr>
      <w:tr w14:paraId="3A1973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CA920DF">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056979B1">
            <w:pPr>
              <w:adjustRightInd w:val="0"/>
              <w:spacing w:line="200" w:lineRule="exact"/>
              <w:jc w:val="center"/>
              <w:rPr>
                <w:rFonts w:ascii="Times New Roman" w:hAnsi="Times New Roman" w:cs="Times New Roman"/>
                <w:bCs/>
                <w:kern w:val="0"/>
                <w:sz w:val="17"/>
                <w:szCs w:val="17"/>
              </w:rPr>
            </w:pPr>
          </w:p>
        </w:tc>
        <w:tc>
          <w:tcPr>
            <w:tcW w:w="8467" w:type="dxa"/>
            <w:gridSpan w:val="9"/>
            <w:tcBorders>
              <w:tl2br w:val="nil"/>
              <w:tr2bl w:val="nil"/>
            </w:tcBorders>
            <w:shd w:val="clear" w:color="auto" w:fill="auto"/>
            <w:tcMar>
              <w:top w:w="12" w:type="dxa"/>
              <w:left w:w="12" w:type="dxa"/>
              <w:right w:w="12" w:type="dxa"/>
            </w:tcMar>
            <w:vAlign w:val="center"/>
          </w:tcPr>
          <w:p w14:paraId="1B47E3B1">
            <w:pPr>
              <w:adjustRightInd w:val="0"/>
              <w:spacing w:line="200" w:lineRule="exact"/>
              <w:jc w:val="center"/>
              <w:rPr>
                <w:rFonts w:ascii="Times New Roman" w:hAnsi="Times New Roman" w:cs="Times New Roman"/>
                <w:bCs/>
                <w:kern w:val="0"/>
                <w:sz w:val="17"/>
                <w:szCs w:val="17"/>
              </w:rPr>
            </w:pPr>
            <w:r>
              <w:rPr>
                <w:rFonts w:hint="eastAsia" w:ascii="Times New Roman" w:hAnsi="Times New Roman" w:cs="Times New Roman"/>
                <w:b/>
                <w:kern w:val="0"/>
                <w:sz w:val="17"/>
                <w:szCs w:val="17"/>
              </w:rPr>
              <w:t>选修5学分</w:t>
            </w:r>
          </w:p>
        </w:tc>
      </w:tr>
      <w:tr w14:paraId="342958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restart"/>
            <w:tcBorders>
              <w:tl2br w:val="nil"/>
              <w:tr2bl w:val="nil"/>
            </w:tcBorders>
            <w:shd w:val="clear" w:color="auto" w:fill="auto"/>
            <w:tcMar>
              <w:top w:w="12" w:type="dxa"/>
              <w:left w:w="12" w:type="dxa"/>
              <w:right w:w="12" w:type="dxa"/>
            </w:tcMar>
            <w:vAlign w:val="center"/>
          </w:tcPr>
          <w:p w14:paraId="2F7DA7D8">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实践教育</w:t>
            </w:r>
          </w:p>
        </w:tc>
        <w:tc>
          <w:tcPr>
            <w:tcW w:w="519" w:type="dxa"/>
            <w:vMerge w:val="restart"/>
            <w:tcBorders>
              <w:tl2br w:val="nil"/>
              <w:tr2bl w:val="nil"/>
            </w:tcBorders>
            <w:shd w:val="clear" w:color="auto" w:fill="auto"/>
            <w:tcMar>
              <w:top w:w="12" w:type="dxa"/>
              <w:left w:w="12" w:type="dxa"/>
              <w:right w:w="12" w:type="dxa"/>
            </w:tcMar>
            <w:vAlign w:val="center"/>
          </w:tcPr>
          <w:p w14:paraId="6E99F16C">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公共</w:t>
            </w:r>
          </w:p>
          <w:p w14:paraId="46EAC2B7">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基础</w:t>
            </w:r>
          </w:p>
          <w:p w14:paraId="7F1CCBDE">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1221" w:type="dxa"/>
            <w:tcBorders>
              <w:tl2br w:val="nil"/>
              <w:tr2bl w:val="nil"/>
            </w:tcBorders>
            <w:shd w:val="clear" w:color="auto" w:fill="auto"/>
            <w:tcMar>
              <w:top w:w="12" w:type="dxa"/>
              <w:left w:w="12" w:type="dxa"/>
              <w:right w:w="12" w:type="dxa"/>
            </w:tcMar>
            <w:vAlign w:val="center"/>
          </w:tcPr>
          <w:p w14:paraId="24E543A5">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5321283001</w:t>
            </w:r>
          </w:p>
        </w:tc>
        <w:tc>
          <w:tcPr>
            <w:tcW w:w="2370" w:type="dxa"/>
            <w:tcBorders>
              <w:tl2br w:val="nil"/>
              <w:tr2bl w:val="nil"/>
            </w:tcBorders>
            <w:shd w:val="clear" w:color="auto" w:fill="auto"/>
            <w:tcMar>
              <w:top w:w="12" w:type="dxa"/>
              <w:left w:w="12" w:type="dxa"/>
              <w:right w:w="12" w:type="dxa"/>
            </w:tcMar>
            <w:vAlign w:val="center"/>
          </w:tcPr>
          <w:p w14:paraId="47318F61">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军事技能</w:t>
            </w:r>
          </w:p>
          <w:p w14:paraId="76230E7E">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Military Training</w:t>
            </w:r>
          </w:p>
        </w:tc>
        <w:tc>
          <w:tcPr>
            <w:tcW w:w="579" w:type="dxa"/>
            <w:tcBorders>
              <w:tl2br w:val="nil"/>
              <w:tr2bl w:val="nil"/>
            </w:tcBorders>
            <w:shd w:val="clear" w:color="auto" w:fill="auto"/>
            <w:tcMar>
              <w:top w:w="12" w:type="dxa"/>
              <w:left w:w="12" w:type="dxa"/>
              <w:right w:w="12" w:type="dxa"/>
            </w:tcMar>
            <w:vAlign w:val="center"/>
          </w:tcPr>
          <w:p w14:paraId="70C17BC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w:t>
            </w:r>
          </w:p>
        </w:tc>
        <w:tc>
          <w:tcPr>
            <w:tcW w:w="469" w:type="dxa"/>
            <w:tcBorders>
              <w:tl2br w:val="nil"/>
              <w:tr2bl w:val="nil"/>
            </w:tcBorders>
            <w:shd w:val="clear" w:color="auto" w:fill="auto"/>
            <w:tcMar>
              <w:top w:w="12" w:type="dxa"/>
              <w:left w:w="12" w:type="dxa"/>
              <w:right w:w="12" w:type="dxa"/>
            </w:tcMar>
            <w:vAlign w:val="center"/>
          </w:tcPr>
          <w:p w14:paraId="4EBE0D18">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90</w:t>
            </w:r>
          </w:p>
        </w:tc>
        <w:tc>
          <w:tcPr>
            <w:tcW w:w="540" w:type="dxa"/>
            <w:tcBorders>
              <w:tl2br w:val="nil"/>
              <w:tr2bl w:val="nil"/>
            </w:tcBorders>
            <w:shd w:val="clear" w:color="auto" w:fill="auto"/>
            <w:tcMar>
              <w:top w:w="12" w:type="dxa"/>
              <w:left w:w="12" w:type="dxa"/>
              <w:right w:w="12" w:type="dxa"/>
            </w:tcMar>
            <w:vAlign w:val="center"/>
          </w:tcPr>
          <w:p w14:paraId="5011F1F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70" w:type="dxa"/>
            <w:tcBorders>
              <w:tl2br w:val="nil"/>
              <w:tr2bl w:val="nil"/>
            </w:tcBorders>
            <w:shd w:val="clear" w:color="auto" w:fill="auto"/>
            <w:tcMar>
              <w:top w:w="12" w:type="dxa"/>
              <w:left w:w="12" w:type="dxa"/>
              <w:right w:w="12" w:type="dxa"/>
            </w:tcMar>
            <w:vAlign w:val="center"/>
          </w:tcPr>
          <w:p w14:paraId="3D1C81F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90</w:t>
            </w:r>
          </w:p>
        </w:tc>
        <w:tc>
          <w:tcPr>
            <w:tcW w:w="558" w:type="dxa"/>
            <w:tcBorders>
              <w:tl2br w:val="nil"/>
              <w:tr2bl w:val="nil"/>
            </w:tcBorders>
            <w:shd w:val="clear" w:color="auto" w:fill="auto"/>
            <w:tcMar>
              <w:top w:w="12" w:type="dxa"/>
              <w:left w:w="12" w:type="dxa"/>
              <w:right w:w="12" w:type="dxa"/>
            </w:tcMar>
            <w:vAlign w:val="center"/>
          </w:tcPr>
          <w:p w14:paraId="0D37F68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49336BAE">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1541" w:type="dxa"/>
            <w:tcBorders>
              <w:tl2br w:val="nil"/>
              <w:tr2bl w:val="nil"/>
            </w:tcBorders>
            <w:shd w:val="clear" w:color="auto" w:fill="auto"/>
            <w:tcMar>
              <w:top w:w="12" w:type="dxa"/>
              <w:left w:w="12" w:type="dxa"/>
              <w:right w:w="12" w:type="dxa"/>
            </w:tcMar>
            <w:vAlign w:val="center"/>
          </w:tcPr>
          <w:p w14:paraId="7D590DF5">
            <w:pPr>
              <w:widowControl/>
              <w:jc w:val="left"/>
              <w:textAlignment w:val="center"/>
              <w:rPr>
                <w:rFonts w:ascii="Times New Roman" w:hAnsi="Times New Roman" w:eastAsia="宋体" w:cs="Times New Roman"/>
                <w:sz w:val="17"/>
                <w:szCs w:val="17"/>
              </w:rPr>
            </w:pPr>
          </w:p>
        </w:tc>
      </w:tr>
      <w:tr w14:paraId="2DC627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6E9A1315">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C83521D">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0A9163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3221484001</w:t>
            </w:r>
          </w:p>
        </w:tc>
        <w:tc>
          <w:tcPr>
            <w:tcW w:w="2370" w:type="dxa"/>
            <w:tcBorders>
              <w:tl2br w:val="nil"/>
              <w:tr2bl w:val="nil"/>
            </w:tcBorders>
            <w:shd w:val="clear" w:color="auto" w:fill="auto"/>
            <w:tcMar>
              <w:top w:w="12" w:type="dxa"/>
              <w:left w:w="12" w:type="dxa"/>
              <w:right w:w="12" w:type="dxa"/>
            </w:tcMar>
            <w:vAlign w:val="center"/>
          </w:tcPr>
          <w:p w14:paraId="42870989">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6420533D">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Labor Education</w:t>
            </w:r>
          </w:p>
        </w:tc>
        <w:tc>
          <w:tcPr>
            <w:tcW w:w="579" w:type="dxa"/>
            <w:tcBorders>
              <w:tl2br w:val="nil"/>
              <w:tr2bl w:val="nil"/>
            </w:tcBorders>
            <w:shd w:val="clear" w:color="auto" w:fill="auto"/>
            <w:tcMar>
              <w:top w:w="12" w:type="dxa"/>
              <w:left w:w="12" w:type="dxa"/>
              <w:right w:w="12" w:type="dxa"/>
            </w:tcMar>
            <w:vAlign w:val="center"/>
          </w:tcPr>
          <w:p w14:paraId="7EB4738F">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469" w:type="dxa"/>
            <w:tcBorders>
              <w:tl2br w:val="nil"/>
              <w:tr2bl w:val="nil"/>
            </w:tcBorders>
            <w:shd w:val="clear" w:color="auto" w:fill="auto"/>
            <w:tcMar>
              <w:top w:w="12" w:type="dxa"/>
              <w:left w:w="12" w:type="dxa"/>
              <w:right w:w="12" w:type="dxa"/>
            </w:tcMar>
            <w:vAlign w:val="center"/>
          </w:tcPr>
          <w:p w14:paraId="1E5897E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16</w:t>
            </w:r>
          </w:p>
        </w:tc>
        <w:tc>
          <w:tcPr>
            <w:tcW w:w="540" w:type="dxa"/>
            <w:tcBorders>
              <w:tl2br w:val="nil"/>
              <w:tr2bl w:val="nil"/>
            </w:tcBorders>
            <w:shd w:val="clear" w:color="auto" w:fill="auto"/>
            <w:tcMar>
              <w:top w:w="12" w:type="dxa"/>
              <w:left w:w="12" w:type="dxa"/>
              <w:right w:w="12" w:type="dxa"/>
            </w:tcMar>
            <w:vAlign w:val="center"/>
          </w:tcPr>
          <w:p w14:paraId="04C4B76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70" w:type="dxa"/>
            <w:tcBorders>
              <w:tl2br w:val="nil"/>
              <w:tr2bl w:val="nil"/>
            </w:tcBorders>
            <w:shd w:val="clear" w:color="auto" w:fill="auto"/>
            <w:tcMar>
              <w:top w:w="12" w:type="dxa"/>
              <w:left w:w="12" w:type="dxa"/>
              <w:right w:w="12" w:type="dxa"/>
            </w:tcMar>
            <w:vAlign w:val="center"/>
          </w:tcPr>
          <w:p w14:paraId="0F34ED32">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8</w:t>
            </w:r>
          </w:p>
        </w:tc>
        <w:tc>
          <w:tcPr>
            <w:tcW w:w="558" w:type="dxa"/>
            <w:tcBorders>
              <w:tl2br w:val="nil"/>
              <w:tr2bl w:val="nil"/>
            </w:tcBorders>
            <w:shd w:val="clear" w:color="auto" w:fill="auto"/>
            <w:tcMar>
              <w:top w:w="12" w:type="dxa"/>
              <w:left w:w="12" w:type="dxa"/>
              <w:right w:w="12" w:type="dxa"/>
            </w:tcMar>
            <w:vAlign w:val="center"/>
          </w:tcPr>
          <w:p w14:paraId="53C1DF6B">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59CBA676">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2</w:t>
            </w:r>
          </w:p>
        </w:tc>
        <w:tc>
          <w:tcPr>
            <w:tcW w:w="1541" w:type="dxa"/>
            <w:tcBorders>
              <w:tl2br w:val="nil"/>
              <w:tr2bl w:val="nil"/>
            </w:tcBorders>
            <w:shd w:val="clear" w:color="auto" w:fill="auto"/>
            <w:tcMar>
              <w:top w:w="12" w:type="dxa"/>
              <w:left w:w="12" w:type="dxa"/>
              <w:right w:w="12" w:type="dxa"/>
            </w:tcMar>
            <w:vAlign w:val="center"/>
          </w:tcPr>
          <w:p w14:paraId="169C97BA">
            <w:pPr>
              <w:widowControl/>
              <w:jc w:val="left"/>
              <w:textAlignment w:val="center"/>
              <w:rPr>
                <w:rFonts w:ascii="Times New Roman" w:hAnsi="Times New Roman" w:eastAsia="宋体" w:cs="Times New Roman"/>
                <w:sz w:val="17"/>
                <w:szCs w:val="17"/>
              </w:rPr>
            </w:pPr>
          </w:p>
        </w:tc>
      </w:tr>
      <w:tr w14:paraId="440649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5557BE52">
            <w:pPr>
              <w:adjustRightInd w:val="0"/>
              <w:spacing w:line="200" w:lineRule="exact"/>
              <w:jc w:val="center"/>
              <w:rPr>
                <w:rFonts w:ascii="Times New Roman" w:hAnsi="Times New Roman" w:cs="Times New Roman"/>
                <w:bCs/>
                <w:kern w:val="0"/>
                <w:sz w:val="17"/>
                <w:szCs w:val="17"/>
              </w:rPr>
            </w:pPr>
          </w:p>
        </w:tc>
        <w:tc>
          <w:tcPr>
            <w:tcW w:w="519" w:type="dxa"/>
            <w:vMerge w:val="restart"/>
            <w:tcBorders>
              <w:tl2br w:val="nil"/>
              <w:tr2bl w:val="nil"/>
            </w:tcBorders>
            <w:shd w:val="clear" w:color="auto" w:fill="auto"/>
            <w:tcMar>
              <w:top w:w="12" w:type="dxa"/>
              <w:left w:w="12" w:type="dxa"/>
              <w:right w:w="12" w:type="dxa"/>
            </w:tcMar>
            <w:vAlign w:val="center"/>
          </w:tcPr>
          <w:p w14:paraId="32ACB7C9">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专业</w:t>
            </w:r>
          </w:p>
          <w:p w14:paraId="5AAAA3C7">
            <w:pPr>
              <w:adjustRightInd w:val="0"/>
              <w:spacing w:line="200" w:lineRule="exact"/>
              <w:jc w:val="center"/>
              <w:rPr>
                <w:rFonts w:ascii="Times New Roman" w:hAnsi="Times New Roman" w:cs="Times New Roman"/>
                <w:bCs/>
                <w:kern w:val="0"/>
                <w:sz w:val="17"/>
                <w:szCs w:val="17"/>
              </w:rPr>
            </w:pPr>
            <w:r>
              <w:rPr>
                <w:rFonts w:ascii="Times New Roman" w:hAnsi="Times New Roman" w:cs="Times New Roman"/>
                <w:bCs/>
                <w:kern w:val="0"/>
                <w:sz w:val="17"/>
                <w:szCs w:val="17"/>
              </w:rPr>
              <w:t>必修</w:t>
            </w:r>
          </w:p>
        </w:tc>
        <w:tc>
          <w:tcPr>
            <w:tcW w:w="1221" w:type="dxa"/>
            <w:tcBorders>
              <w:tl2br w:val="nil"/>
              <w:tr2bl w:val="nil"/>
            </w:tcBorders>
            <w:shd w:val="clear" w:color="auto" w:fill="auto"/>
            <w:tcMar>
              <w:top w:w="12" w:type="dxa"/>
              <w:left w:w="12" w:type="dxa"/>
              <w:right w:w="12" w:type="dxa"/>
            </w:tcMar>
            <w:vAlign w:val="center"/>
          </w:tcPr>
          <w:p w14:paraId="739DF5E6">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lang w:bidi="ar"/>
              </w:rPr>
              <w:t>1224546008</w:t>
            </w:r>
          </w:p>
        </w:tc>
        <w:tc>
          <w:tcPr>
            <w:tcW w:w="2370" w:type="dxa"/>
            <w:tcBorders>
              <w:tl2br w:val="nil"/>
              <w:tr2bl w:val="nil"/>
            </w:tcBorders>
            <w:shd w:val="clear" w:color="auto" w:fill="auto"/>
            <w:tcMar>
              <w:top w:w="12" w:type="dxa"/>
              <w:left w:w="12" w:type="dxa"/>
              <w:right w:w="12" w:type="dxa"/>
            </w:tcMar>
            <w:vAlign w:val="center"/>
          </w:tcPr>
          <w:p w14:paraId="12E25927">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汽车拆装实训</w:t>
            </w:r>
          </w:p>
          <w:p w14:paraId="1AD96393">
            <w:pPr>
              <w:adjustRightInd w:val="0"/>
              <w:spacing w:line="200" w:lineRule="exact"/>
              <w:jc w:val="left"/>
              <w:rPr>
                <w:rFonts w:ascii="Times New Roman" w:hAnsi="Times New Roman" w:eastAsia="宋体" w:cs="Times New Roman"/>
                <w:sz w:val="17"/>
                <w:szCs w:val="17"/>
              </w:rPr>
            </w:pPr>
            <w:r>
              <w:rPr>
                <w:rFonts w:ascii="Times New Roman" w:hAnsi="Times New Roman" w:eastAsia="宋体" w:cs="Times New Roman"/>
                <w:bCs/>
                <w:kern w:val="0"/>
                <w:sz w:val="17"/>
                <w:szCs w:val="17"/>
                <w:lang w:bidi="ar"/>
              </w:rPr>
              <w:t>Car Disassembly and Installation Training</w:t>
            </w:r>
          </w:p>
        </w:tc>
        <w:tc>
          <w:tcPr>
            <w:tcW w:w="579" w:type="dxa"/>
            <w:tcBorders>
              <w:tl2br w:val="nil"/>
              <w:tr2bl w:val="nil"/>
            </w:tcBorders>
            <w:shd w:val="clear" w:color="auto" w:fill="auto"/>
            <w:tcMar>
              <w:top w:w="12" w:type="dxa"/>
              <w:left w:w="12" w:type="dxa"/>
              <w:right w:w="12" w:type="dxa"/>
            </w:tcMar>
            <w:vAlign w:val="center"/>
          </w:tcPr>
          <w:p w14:paraId="6C994837">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469" w:type="dxa"/>
            <w:tcBorders>
              <w:tl2br w:val="nil"/>
              <w:tr2bl w:val="nil"/>
            </w:tcBorders>
            <w:shd w:val="clear" w:color="auto" w:fill="auto"/>
            <w:tcMar>
              <w:top w:w="12" w:type="dxa"/>
              <w:left w:w="12" w:type="dxa"/>
              <w:right w:w="12" w:type="dxa"/>
            </w:tcMar>
            <w:vAlign w:val="center"/>
          </w:tcPr>
          <w:p w14:paraId="76F09DA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40" w:type="dxa"/>
            <w:tcBorders>
              <w:tl2br w:val="nil"/>
              <w:tr2bl w:val="nil"/>
            </w:tcBorders>
            <w:shd w:val="clear" w:color="auto" w:fill="auto"/>
            <w:tcMar>
              <w:top w:w="12" w:type="dxa"/>
              <w:left w:w="12" w:type="dxa"/>
              <w:right w:w="12" w:type="dxa"/>
            </w:tcMar>
            <w:vAlign w:val="center"/>
          </w:tcPr>
          <w:p w14:paraId="115D08C3">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70" w:type="dxa"/>
            <w:tcBorders>
              <w:tl2br w:val="nil"/>
              <w:tr2bl w:val="nil"/>
            </w:tcBorders>
            <w:shd w:val="clear" w:color="auto" w:fill="auto"/>
            <w:tcMar>
              <w:top w:w="12" w:type="dxa"/>
              <w:left w:w="12" w:type="dxa"/>
              <w:right w:w="12" w:type="dxa"/>
            </w:tcMar>
            <w:vAlign w:val="center"/>
          </w:tcPr>
          <w:p w14:paraId="246BA1F9">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58" w:type="dxa"/>
            <w:tcBorders>
              <w:tl2br w:val="nil"/>
              <w:tr2bl w:val="nil"/>
            </w:tcBorders>
            <w:shd w:val="clear" w:color="auto" w:fill="auto"/>
            <w:tcMar>
              <w:top w:w="12" w:type="dxa"/>
              <w:left w:w="12" w:type="dxa"/>
              <w:right w:w="12" w:type="dxa"/>
            </w:tcMar>
            <w:vAlign w:val="center"/>
          </w:tcPr>
          <w:p w14:paraId="0A3AB187">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考查</w:t>
            </w:r>
          </w:p>
        </w:tc>
        <w:tc>
          <w:tcPr>
            <w:tcW w:w="619" w:type="dxa"/>
            <w:tcBorders>
              <w:tl2br w:val="nil"/>
              <w:tr2bl w:val="nil"/>
            </w:tcBorders>
            <w:shd w:val="clear" w:color="auto" w:fill="auto"/>
            <w:tcMar>
              <w:top w:w="12" w:type="dxa"/>
              <w:left w:w="12" w:type="dxa"/>
              <w:right w:w="12" w:type="dxa"/>
            </w:tcMar>
            <w:vAlign w:val="center"/>
          </w:tcPr>
          <w:p w14:paraId="56FF8B00">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3</w:t>
            </w:r>
          </w:p>
        </w:tc>
        <w:tc>
          <w:tcPr>
            <w:tcW w:w="1541" w:type="dxa"/>
            <w:tcBorders>
              <w:tl2br w:val="nil"/>
              <w:tr2bl w:val="nil"/>
            </w:tcBorders>
            <w:shd w:val="clear" w:color="auto" w:fill="auto"/>
            <w:tcMar>
              <w:top w:w="12" w:type="dxa"/>
              <w:left w:w="12" w:type="dxa"/>
              <w:right w:w="12" w:type="dxa"/>
            </w:tcMar>
            <w:vAlign w:val="center"/>
          </w:tcPr>
          <w:p w14:paraId="2696C389">
            <w:pPr>
              <w:widowControl/>
              <w:jc w:val="center"/>
              <w:textAlignment w:val="center"/>
              <w:rPr>
                <w:rFonts w:ascii="Times New Roman" w:hAnsi="Times New Roman" w:cs="Times New Roman"/>
                <w:bCs/>
                <w:kern w:val="0"/>
                <w:sz w:val="17"/>
                <w:szCs w:val="17"/>
              </w:rPr>
            </w:pPr>
          </w:p>
        </w:tc>
      </w:tr>
      <w:tr w14:paraId="021D0B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0BE3A1E">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8DB460A">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27D67C9A">
            <w:pPr>
              <w:adjustRightInd w:val="0"/>
              <w:spacing w:line="200" w:lineRule="exact"/>
              <w:jc w:val="center"/>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1224546080</w:t>
            </w:r>
          </w:p>
        </w:tc>
        <w:tc>
          <w:tcPr>
            <w:tcW w:w="2370" w:type="dxa"/>
            <w:tcBorders>
              <w:tl2br w:val="nil"/>
              <w:tr2bl w:val="nil"/>
            </w:tcBorders>
            <w:shd w:val="clear" w:color="auto" w:fill="auto"/>
            <w:tcMar>
              <w:top w:w="12" w:type="dxa"/>
              <w:left w:w="12" w:type="dxa"/>
              <w:right w:w="12" w:type="dxa"/>
            </w:tcMar>
            <w:vAlign w:val="center"/>
          </w:tcPr>
          <w:p w14:paraId="143FEE5D">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汽车综合故障诊断课程实习</w:t>
            </w:r>
          </w:p>
          <w:p w14:paraId="305AF536">
            <w:pPr>
              <w:adjustRightInd w:val="0"/>
              <w:spacing w:line="200" w:lineRule="exact"/>
              <w:jc w:val="left"/>
              <w:rPr>
                <w:rFonts w:ascii="Times New Roman" w:hAnsi="Times New Roman" w:eastAsia="宋体" w:cs="Times New Roman"/>
                <w:bCs/>
                <w:kern w:val="0"/>
                <w:sz w:val="17"/>
                <w:szCs w:val="17"/>
                <w:lang w:bidi="ar"/>
              </w:rPr>
            </w:pPr>
            <w:r>
              <w:rPr>
                <w:rFonts w:ascii="Times New Roman" w:hAnsi="Times New Roman" w:eastAsia="宋体" w:cs="Times New Roman"/>
                <w:bCs/>
                <w:kern w:val="0"/>
                <w:sz w:val="17"/>
                <w:szCs w:val="17"/>
                <w:lang w:bidi="ar"/>
              </w:rPr>
              <w:t>Course Internship on Comprehensive Fault Diagnosis of Vehicles</w:t>
            </w:r>
          </w:p>
        </w:tc>
        <w:tc>
          <w:tcPr>
            <w:tcW w:w="579" w:type="dxa"/>
            <w:tcBorders>
              <w:tl2br w:val="nil"/>
              <w:tr2bl w:val="nil"/>
            </w:tcBorders>
            <w:shd w:val="clear" w:color="auto" w:fill="auto"/>
            <w:noWrap/>
            <w:tcMar>
              <w:top w:w="12" w:type="dxa"/>
              <w:left w:w="12" w:type="dxa"/>
              <w:right w:w="12" w:type="dxa"/>
            </w:tcMar>
            <w:vAlign w:val="center"/>
          </w:tcPr>
          <w:p w14:paraId="722BA4A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1</w:t>
            </w:r>
          </w:p>
        </w:tc>
        <w:tc>
          <w:tcPr>
            <w:tcW w:w="469" w:type="dxa"/>
            <w:tcBorders>
              <w:tl2br w:val="nil"/>
              <w:tr2bl w:val="nil"/>
            </w:tcBorders>
            <w:shd w:val="clear" w:color="auto" w:fill="auto"/>
            <w:tcMar>
              <w:top w:w="12" w:type="dxa"/>
              <w:left w:w="12" w:type="dxa"/>
              <w:right w:w="12" w:type="dxa"/>
            </w:tcMar>
            <w:vAlign w:val="center"/>
          </w:tcPr>
          <w:p w14:paraId="7DCFB410">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40" w:type="dxa"/>
            <w:tcBorders>
              <w:tl2br w:val="nil"/>
              <w:tr2bl w:val="nil"/>
            </w:tcBorders>
            <w:shd w:val="clear" w:color="auto" w:fill="auto"/>
            <w:noWrap/>
            <w:tcMar>
              <w:top w:w="12" w:type="dxa"/>
              <w:left w:w="12" w:type="dxa"/>
              <w:right w:w="12" w:type="dxa"/>
            </w:tcMar>
            <w:vAlign w:val="center"/>
          </w:tcPr>
          <w:p w14:paraId="064F466D">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0</w:t>
            </w:r>
          </w:p>
        </w:tc>
        <w:tc>
          <w:tcPr>
            <w:tcW w:w="570" w:type="dxa"/>
            <w:tcBorders>
              <w:tl2br w:val="nil"/>
              <w:tr2bl w:val="nil"/>
            </w:tcBorders>
            <w:shd w:val="clear" w:color="auto" w:fill="auto"/>
            <w:tcMar>
              <w:top w:w="12" w:type="dxa"/>
              <w:left w:w="12" w:type="dxa"/>
              <w:right w:w="12" w:type="dxa"/>
            </w:tcMar>
            <w:vAlign w:val="center"/>
          </w:tcPr>
          <w:p w14:paraId="61776864">
            <w:pPr>
              <w:widowControl/>
              <w:jc w:val="center"/>
              <w:textAlignment w:val="center"/>
              <w:rPr>
                <w:rFonts w:ascii="Times New Roman" w:hAnsi="Times New Roman" w:eastAsia="宋体" w:cs="Times New Roman"/>
                <w:sz w:val="17"/>
                <w:szCs w:val="17"/>
              </w:rPr>
            </w:pPr>
            <w:r>
              <w:rPr>
                <w:rFonts w:hint="eastAsia" w:ascii="Times New Roman" w:hAnsi="Times New Roman" w:eastAsia="宋体" w:cs="Times New Roman"/>
                <w:sz w:val="17"/>
                <w:szCs w:val="17"/>
              </w:rPr>
              <w:t>30</w:t>
            </w:r>
          </w:p>
        </w:tc>
        <w:tc>
          <w:tcPr>
            <w:tcW w:w="558" w:type="dxa"/>
            <w:tcBorders>
              <w:tl2br w:val="nil"/>
              <w:tr2bl w:val="nil"/>
            </w:tcBorders>
            <w:shd w:val="clear" w:color="auto" w:fill="auto"/>
            <w:noWrap/>
            <w:tcMar>
              <w:top w:w="12" w:type="dxa"/>
              <w:left w:w="12" w:type="dxa"/>
              <w:right w:w="12" w:type="dxa"/>
            </w:tcMar>
            <w:vAlign w:val="center"/>
          </w:tcPr>
          <w:p w14:paraId="308CA80A">
            <w:pPr>
              <w:widowControl/>
              <w:jc w:val="center"/>
              <w:textAlignment w:val="center"/>
              <w:rPr>
                <w:rFonts w:ascii="Times New Roman" w:hAnsi="Times New Roman" w:eastAsia="宋体" w:cs="Times New Roman"/>
                <w:sz w:val="17"/>
                <w:szCs w:val="17"/>
              </w:rPr>
            </w:pPr>
            <w:r>
              <w:rPr>
                <w:rFonts w:ascii="Times New Roman" w:hAnsi="Times New Roman" w:eastAsia="宋体" w:cs="Times New Roman"/>
                <w:sz w:val="17"/>
                <w:szCs w:val="17"/>
              </w:rPr>
              <w:t>考查</w:t>
            </w:r>
          </w:p>
        </w:tc>
        <w:tc>
          <w:tcPr>
            <w:tcW w:w="619" w:type="dxa"/>
            <w:tcBorders>
              <w:tl2br w:val="nil"/>
              <w:tr2bl w:val="nil"/>
            </w:tcBorders>
            <w:shd w:val="clear" w:color="auto" w:fill="auto"/>
            <w:noWrap/>
            <w:tcMar>
              <w:top w:w="12" w:type="dxa"/>
              <w:left w:w="12" w:type="dxa"/>
              <w:right w:w="12" w:type="dxa"/>
            </w:tcMar>
            <w:vAlign w:val="center"/>
          </w:tcPr>
          <w:p w14:paraId="5F05B8E1">
            <w:pPr>
              <w:widowControl/>
              <w:jc w:val="center"/>
              <w:textAlignment w:val="center"/>
              <w:rPr>
                <w:rFonts w:ascii="Times New Roman" w:hAnsi="Times New Roman" w:cs="Times New Roman"/>
                <w:bCs/>
                <w:kern w:val="0"/>
                <w:sz w:val="17"/>
                <w:szCs w:val="17"/>
              </w:rPr>
            </w:pPr>
            <w:r>
              <w:rPr>
                <w:rFonts w:hint="eastAsia" w:ascii="Times New Roman" w:hAnsi="Times New Roman" w:eastAsia="宋体" w:cs="Times New Roman"/>
                <w:sz w:val="17"/>
                <w:szCs w:val="17"/>
              </w:rPr>
              <w:t>4</w:t>
            </w:r>
          </w:p>
        </w:tc>
        <w:tc>
          <w:tcPr>
            <w:tcW w:w="1541" w:type="dxa"/>
            <w:tcBorders>
              <w:tl2br w:val="nil"/>
              <w:tr2bl w:val="nil"/>
            </w:tcBorders>
            <w:shd w:val="clear" w:color="auto" w:fill="auto"/>
            <w:noWrap/>
            <w:tcMar>
              <w:top w:w="12" w:type="dxa"/>
              <w:left w:w="12" w:type="dxa"/>
              <w:right w:w="12" w:type="dxa"/>
            </w:tcMar>
            <w:vAlign w:val="center"/>
          </w:tcPr>
          <w:p w14:paraId="07143C13">
            <w:pPr>
              <w:widowControl/>
              <w:jc w:val="center"/>
              <w:textAlignment w:val="center"/>
              <w:rPr>
                <w:rFonts w:ascii="Times New Roman" w:hAnsi="Times New Roman" w:cs="Times New Roman"/>
                <w:bCs/>
                <w:kern w:val="0"/>
                <w:sz w:val="17"/>
                <w:szCs w:val="17"/>
              </w:rPr>
            </w:pPr>
          </w:p>
        </w:tc>
      </w:tr>
      <w:tr w14:paraId="1AAD32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83500AB">
            <w:pPr>
              <w:adjustRightInd w:val="0"/>
              <w:spacing w:line="200" w:lineRule="exact"/>
              <w:jc w:val="center"/>
              <w:rPr>
                <w:rFonts w:ascii="Times New Roman" w:hAnsi="Times New Roman" w:cs="Times New Roman"/>
                <w:bCs/>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635DEF53">
            <w:pPr>
              <w:adjustRightInd w:val="0"/>
              <w:spacing w:line="200" w:lineRule="exact"/>
              <w:jc w:val="center"/>
              <w:rPr>
                <w:rFonts w:ascii="Times New Roman" w:hAnsi="Times New Roman" w:cs="Times New Roman"/>
                <w:bCs/>
                <w:kern w:val="0"/>
                <w:sz w:val="17"/>
                <w:szCs w:val="17"/>
              </w:rPr>
            </w:pPr>
          </w:p>
        </w:tc>
        <w:tc>
          <w:tcPr>
            <w:tcW w:w="1221" w:type="dxa"/>
            <w:tcBorders>
              <w:tl2br w:val="nil"/>
              <w:tr2bl w:val="nil"/>
            </w:tcBorders>
            <w:shd w:val="clear" w:color="auto" w:fill="auto"/>
            <w:tcMar>
              <w:top w:w="12" w:type="dxa"/>
              <w:left w:w="12" w:type="dxa"/>
              <w:right w:w="12" w:type="dxa"/>
            </w:tcMar>
            <w:vAlign w:val="center"/>
          </w:tcPr>
          <w:p w14:paraId="0AEECEC9">
            <w:pPr>
              <w:widowControl/>
              <w:jc w:val="center"/>
              <w:textAlignment w:val="center"/>
              <w:rPr>
                <w:rFonts w:ascii="Times New Roman" w:hAnsi="Times New Roman" w:cs="Times New Roman"/>
                <w:bCs/>
                <w:kern w:val="0"/>
                <w:sz w:val="17"/>
                <w:szCs w:val="17"/>
              </w:rPr>
            </w:pPr>
            <w:bookmarkStart w:id="23" w:name="OLE_LINK8"/>
            <w:bookmarkStart w:id="24" w:name="OLE_LINK7"/>
            <w:r>
              <w:rPr>
                <w:rFonts w:ascii="Times New Roman" w:hAnsi="Times New Roman" w:eastAsia="宋体" w:cs="Times New Roman"/>
                <w:bCs/>
                <w:kern w:val="0"/>
                <w:sz w:val="17"/>
                <w:szCs w:val="17"/>
                <w:lang w:bidi="ar"/>
              </w:rPr>
              <w:t>1224646001</w:t>
            </w:r>
            <w:bookmarkEnd w:id="23"/>
            <w:bookmarkEnd w:id="24"/>
          </w:p>
        </w:tc>
        <w:tc>
          <w:tcPr>
            <w:tcW w:w="2370" w:type="dxa"/>
            <w:tcBorders>
              <w:tl2br w:val="nil"/>
              <w:tr2bl w:val="nil"/>
            </w:tcBorders>
            <w:shd w:val="clear" w:color="auto" w:fill="auto"/>
            <w:tcMar>
              <w:top w:w="12" w:type="dxa"/>
              <w:left w:w="12" w:type="dxa"/>
              <w:right w:w="12" w:type="dxa"/>
            </w:tcMar>
            <w:vAlign w:val="center"/>
          </w:tcPr>
          <w:p w14:paraId="1FDC953E">
            <w:pPr>
              <w:adjustRightInd w:val="0"/>
              <w:spacing w:line="200" w:lineRule="exact"/>
              <w:jc w:val="left"/>
              <w:rPr>
                <w:rFonts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顶岗实习及毕业实践</w:t>
            </w:r>
          </w:p>
          <w:p w14:paraId="04041427">
            <w:pPr>
              <w:adjustRightInd w:val="0"/>
              <w:spacing w:line="200" w:lineRule="exact"/>
              <w:jc w:val="left"/>
              <w:rPr>
                <w:rFonts w:ascii="Times New Roman" w:hAnsi="Times New Roman" w:cs="Times New Roman"/>
                <w:bCs/>
                <w:kern w:val="0"/>
                <w:sz w:val="17"/>
                <w:szCs w:val="17"/>
              </w:rPr>
            </w:pPr>
            <w:r>
              <w:rPr>
                <w:rFonts w:ascii="Times New Roman" w:hAnsi="Times New Roman" w:eastAsia="宋体" w:cs="Times New Roman"/>
                <w:bCs/>
                <w:kern w:val="0"/>
                <w:sz w:val="17"/>
                <w:szCs w:val="17"/>
                <w:lang w:bidi="ar"/>
              </w:rPr>
              <w:t>Job Internship and Graduation Practice</w:t>
            </w:r>
          </w:p>
        </w:tc>
        <w:tc>
          <w:tcPr>
            <w:tcW w:w="579" w:type="dxa"/>
            <w:tcBorders>
              <w:tl2br w:val="nil"/>
              <w:tr2bl w:val="nil"/>
            </w:tcBorders>
            <w:shd w:val="clear" w:color="auto" w:fill="auto"/>
            <w:noWrap/>
            <w:tcMar>
              <w:top w:w="12" w:type="dxa"/>
              <w:left w:w="12" w:type="dxa"/>
              <w:right w:w="12" w:type="dxa"/>
            </w:tcMar>
            <w:vAlign w:val="center"/>
          </w:tcPr>
          <w:p w14:paraId="073CEA3F">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28</w:t>
            </w:r>
          </w:p>
        </w:tc>
        <w:tc>
          <w:tcPr>
            <w:tcW w:w="469" w:type="dxa"/>
            <w:tcBorders>
              <w:tl2br w:val="nil"/>
              <w:tr2bl w:val="nil"/>
            </w:tcBorders>
            <w:shd w:val="clear" w:color="auto" w:fill="auto"/>
            <w:tcMar>
              <w:top w:w="12" w:type="dxa"/>
              <w:left w:w="12" w:type="dxa"/>
              <w:right w:w="12" w:type="dxa"/>
            </w:tcMar>
            <w:vAlign w:val="center"/>
          </w:tcPr>
          <w:p w14:paraId="727E3F1C">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sz w:val="17"/>
                <w:szCs w:val="17"/>
              </w:rPr>
              <w:t>840</w:t>
            </w:r>
          </w:p>
        </w:tc>
        <w:tc>
          <w:tcPr>
            <w:tcW w:w="540" w:type="dxa"/>
            <w:tcBorders>
              <w:tl2br w:val="nil"/>
              <w:tr2bl w:val="nil"/>
            </w:tcBorders>
            <w:shd w:val="clear" w:color="auto" w:fill="auto"/>
            <w:noWrap/>
            <w:tcMar>
              <w:top w:w="12" w:type="dxa"/>
              <w:left w:w="12" w:type="dxa"/>
              <w:right w:w="12" w:type="dxa"/>
            </w:tcMar>
            <w:vAlign w:val="center"/>
          </w:tcPr>
          <w:p w14:paraId="2B91018C">
            <w:pPr>
              <w:widowControl/>
              <w:jc w:val="center"/>
              <w:textAlignment w:val="center"/>
              <w:rPr>
                <w:rFonts w:ascii="Times New Roman" w:hAnsi="Times New Roman" w:cs="Times New Roman"/>
                <w:bCs/>
                <w:kern w:val="0"/>
                <w:sz w:val="17"/>
                <w:szCs w:val="17"/>
              </w:rPr>
            </w:pPr>
            <w:r>
              <w:rPr>
                <w:rFonts w:hint="eastAsia" w:ascii="Times New Roman" w:hAnsi="Times New Roman" w:cs="Times New Roman"/>
                <w:bCs/>
                <w:kern w:val="0"/>
                <w:sz w:val="17"/>
                <w:szCs w:val="17"/>
              </w:rPr>
              <w:t>0</w:t>
            </w:r>
          </w:p>
        </w:tc>
        <w:tc>
          <w:tcPr>
            <w:tcW w:w="570" w:type="dxa"/>
            <w:tcBorders>
              <w:tl2br w:val="nil"/>
              <w:tr2bl w:val="nil"/>
            </w:tcBorders>
            <w:shd w:val="clear" w:color="auto" w:fill="auto"/>
            <w:tcMar>
              <w:top w:w="12" w:type="dxa"/>
              <w:left w:w="12" w:type="dxa"/>
              <w:right w:w="12" w:type="dxa"/>
            </w:tcMar>
            <w:vAlign w:val="center"/>
          </w:tcPr>
          <w:p w14:paraId="71173F51">
            <w:pPr>
              <w:jc w:val="center"/>
              <w:rPr>
                <w:rFonts w:ascii="Times New Roman" w:hAnsi="Times New Roman" w:cs="Times New Roman"/>
                <w:bCs/>
                <w:kern w:val="0"/>
                <w:sz w:val="17"/>
                <w:szCs w:val="17"/>
              </w:rPr>
            </w:pPr>
            <w:r>
              <w:rPr>
                <w:rFonts w:ascii="Times New Roman" w:hAnsi="Times New Roman" w:eastAsia="宋体" w:cs="Times New Roman"/>
                <w:sz w:val="17"/>
                <w:szCs w:val="17"/>
              </w:rPr>
              <w:t>840</w:t>
            </w:r>
          </w:p>
        </w:tc>
        <w:tc>
          <w:tcPr>
            <w:tcW w:w="558" w:type="dxa"/>
            <w:tcBorders>
              <w:tl2br w:val="nil"/>
              <w:tr2bl w:val="nil"/>
            </w:tcBorders>
            <w:shd w:val="clear" w:color="auto" w:fill="auto"/>
            <w:noWrap/>
            <w:tcMar>
              <w:top w:w="12" w:type="dxa"/>
              <w:left w:w="12" w:type="dxa"/>
              <w:right w:w="12" w:type="dxa"/>
            </w:tcMar>
            <w:vAlign w:val="center"/>
          </w:tcPr>
          <w:p w14:paraId="0BECF4A8">
            <w:pPr>
              <w:widowControl/>
              <w:jc w:val="center"/>
              <w:textAlignment w:val="center"/>
              <w:rPr>
                <w:rFonts w:ascii="Times New Roman" w:hAnsi="Times New Roman" w:cs="Times New Roman"/>
                <w:bCs/>
                <w:kern w:val="0"/>
                <w:sz w:val="17"/>
                <w:szCs w:val="17"/>
              </w:rPr>
            </w:pPr>
            <w:r>
              <w:rPr>
                <w:rFonts w:ascii="Times New Roman" w:hAnsi="Times New Roman" w:eastAsia="宋体" w:cs="Times New Roman"/>
                <w:color w:val="000000"/>
                <w:kern w:val="0"/>
                <w:sz w:val="17"/>
                <w:szCs w:val="17"/>
                <w:lang w:bidi="ar"/>
              </w:rPr>
              <w:t>考查</w:t>
            </w:r>
          </w:p>
        </w:tc>
        <w:tc>
          <w:tcPr>
            <w:tcW w:w="619" w:type="dxa"/>
            <w:tcBorders>
              <w:tl2br w:val="nil"/>
              <w:tr2bl w:val="nil"/>
            </w:tcBorders>
            <w:shd w:val="clear" w:color="auto" w:fill="auto"/>
            <w:noWrap/>
            <w:tcMar>
              <w:top w:w="12" w:type="dxa"/>
              <w:left w:w="12" w:type="dxa"/>
              <w:right w:w="12" w:type="dxa"/>
            </w:tcMar>
            <w:vAlign w:val="center"/>
          </w:tcPr>
          <w:p w14:paraId="7F6FABF0">
            <w:pPr>
              <w:jc w:val="center"/>
              <w:rPr>
                <w:rFonts w:ascii="Times New Roman" w:hAnsi="Times New Roman" w:cs="Times New Roman"/>
                <w:bCs/>
                <w:kern w:val="0"/>
                <w:sz w:val="17"/>
                <w:szCs w:val="17"/>
              </w:rPr>
            </w:pPr>
            <w:r>
              <w:rPr>
                <w:rFonts w:ascii="Times New Roman" w:hAnsi="Times New Roman" w:eastAsia="宋体" w:cs="Times New Roman"/>
                <w:sz w:val="17"/>
                <w:szCs w:val="17"/>
              </w:rPr>
              <w:t>5</w:t>
            </w:r>
            <w:r>
              <w:rPr>
                <w:rFonts w:hint="eastAsia" w:ascii="Times New Roman" w:hAnsi="Times New Roman" w:eastAsia="宋体" w:cs="Times New Roman"/>
                <w:sz w:val="17"/>
                <w:szCs w:val="17"/>
              </w:rPr>
              <w:t>-6</w:t>
            </w:r>
          </w:p>
        </w:tc>
        <w:tc>
          <w:tcPr>
            <w:tcW w:w="1541" w:type="dxa"/>
            <w:tcBorders>
              <w:tl2br w:val="nil"/>
              <w:tr2bl w:val="nil"/>
            </w:tcBorders>
            <w:shd w:val="clear" w:color="auto" w:fill="auto"/>
            <w:noWrap/>
            <w:tcMar>
              <w:top w:w="12" w:type="dxa"/>
              <w:left w:w="12" w:type="dxa"/>
              <w:right w:w="12" w:type="dxa"/>
            </w:tcMar>
            <w:vAlign w:val="center"/>
          </w:tcPr>
          <w:p w14:paraId="55334CF9">
            <w:pPr>
              <w:widowControl/>
              <w:jc w:val="center"/>
              <w:textAlignment w:val="center"/>
              <w:rPr>
                <w:rFonts w:ascii="Times New Roman" w:hAnsi="Times New Roman" w:cs="Times New Roman"/>
                <w:bCs/>
                <w:kern w:val="0"/>
                <w:sz w:val="17"/>
                <w:szCs w:val="17"/>
              </w:rPr>
            </w:pPr>
          </w:p>
        </w:tc>
      </w:tr>
      <w:tr w14:paraId="03EEA0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79" w:type="dxa"/>
            <w:vMerge w:val="continue"/>
            <w:tcBorders>
              <w:tl2br w:val="nil"/>
              <w:tr2bl w:val="nil"/>
            </w:tcBorders>
            <w:shd w:val="clear" w:color="auto" w:fill="auto"/>
            <w:tcMar>
              <w:top w:w="12" w:type="dxa"/>
              <w:left w:w="12" w:type="dxa"/>
              <w:right w:w="12" w:type="dxa"/>
            </w:tcMar>
            <w:vAlign w:val="center"/>
          </w:tcPr>
          <w:p w14:paraId="03D66BBB">
            <w:pPr>
              <w:adjustRightInd w:val="0"/>
              <w:spacing w:line="200" w:lineRule="exact"/>
              <w:jc w:val="center"/>
              <w:rPr>
                <w:rFonts w:ascii="Times New Roman" w:hAnsi="Times New Roman" w:cs="Times New Roman"/>
                <w:b/>
                <w:kern w:val="0"/>
                <w:sz w:val="17"/>
                <w:szCs w:val="17"/>
              </w:rPr>
            </w:pPr>
          </w:p>
        </w:tc>
        <w:tc>
          <w:tcPr>
            <w:tcW w:w="519" w:type="dxa"/>
            <w:vMerge w:val="continue"/>
            <w:tcBorders>
              <w:tl2br w:val="nil"/>
              <w:tr2bl w:val="nil"/>
            </w:tcBorders>
            <w:shd w:val="clear" w:color="auto" w:fill="auto"/>
            <w:tcMar>
              <w:top w:w="12" w:type="dxa"/>
              <w:left w:w="12" w:type="dxa"/>
              <w:right w:w="12" w:type="dxa"/>
            </w:tcMar>
            <w:vAlign w:val="center"/>
          </w:tcPr>
          <w:p w14:paraId="467463D1">
            <w:pPr>
              <w:adjustRightInd w:val="0"/>
              <w:spacing w:line="200" w:lineRule="exact"/>
              <w:jc w:val="center"/>
              <w:rPr>
                <w:rFonts w:ascii="Times New Roman" w:hAnsi="Times New Roman" w:cs="Times New Roman"/>
                <w:b/>
                <w:kern w:val="0"/>
                <w:sz w:val="17"/>
                <w:szCs w:val="17"/>
              </w:rPr>
            </w:pPr>
          </w:p>
        </w:tc>
        <w:tc>
          <w:tcPr>
            <w:tcW w:w="3591" w:type="dxa"/>
            <w:gridSpan w:val="2"/>
            <w:tcBorders>
              <w:tl2br w:val="nil"/>
              <w:tr2bl w:val="nil"/>
            </w:tcBorders>
            <w:shd w:val="clear" w:color="auto" w:fill="auto"/>
            <w:noWrap/>
            <w:tcMar>
              <w:top w:w="12" w:type="dxa"/>
              <w:left w:w="12" w:type="dxa"/>
              <w:right w:w="12" w:type="dxa"/>
            </w:tcMar>
            <w:vAlign w:val="center"/>
          </w:tcPr>
          <w:p w14:paraId="5392E782">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合计</w:t>
            </w:r>
          </w:p>
        </w:tc>
        <w:tc>
          <w:tcPr>
            <w:tcW w:w="579" w:type="dxa"/>
            <w:tcBorders>
              <w:tl2br w:val="nil"/>
              <w:tr2bl w:val="nil"/>
            </w:tcBorders>
            <w:shd w:val="clear" w:color="auto" w:fill="auto"/>
            <w:noWrap/>
            <w:tcMar>
              <w:top w:w="12" w:type="dxa"/>
              <w:left w:w="12" w:type="dxa"/>
              <w:right w:w="12" w:type="dxa"/>
            </w:tcMar>
            <w:vAlign w:val="center"/>
          </w:tcPr>
          <w:p w14:paraId="2A6477E5">
            <w:pPr>
              <w:widowControl/>
              <w:jc w:val="center"/>
              <w:textAlignment w:val="center"/>
              <w:rPr>
                <w:rFonts w:ascii="Times New Roman" w:hAnsi="Times New Roman" w:eastAsia="宋体" w:cs="Times New Roman"/>
                <w:b/>
                <w:bCs/>
                <w:sz w:val="17"/>
                <w:szCs w:val="17"/>
              </w:rPr>
            </w:pPr>
            <w:r>
              <w:rPr>
                <w:rFonts w:ascii="Times New Roman" w:hAnsi="Times New Roman" w:eastAsia="宋体" w:cs="Times New Roman"/>
                <w:b/>
                <w:bCs/>
                <w:sz w:val="17"/>
                <w:szCs w:val="17"/>
              </w:rPr>
              <w:t>34</w:t>
            </w:r>
          </w:p>
        </w:tc>
        <w:tc>
          <w:tcPr>
            <w:tcW w:w="469" w:type="dxa"/>
            <w:tcBorders>
              <w:tl2br w:val="nil"/>
              <w:tr2bl w:val="nil"/>
            </w:tcBorders>
            <w:shd w:val="clear" w:color="auto" w:fill="auto"/>
            <w:noWrap/>
            <w:tcMar>
              <w:top w:w="12" w:type="dxa"/>
              <w:left w:w="12" w:type="dxa"/>
              <w:right w:w="12" w:type="dxa"/>
            </w:tcMar>
            <w:vAlign w:val="center"/>
          </w:tcPr>
          <w:p w14:paraId="7265E258">
            <w:pPr>
              <w:widowControl/>
              <w:jc w:val="center"/>
              <w:textAlignment w:val="center"/>
              <w:rPr>
                <w:rFonts w:ascii="Times New Roman" w:hAnsi="Times New Roman" w:eastAsia="宋体" w:cs="Times New Roman"/>
                <w:b/>
                <w:bCs/>
                <w:sz w:val="17"/>
                <w:szCs w:val="17"/>
              </w:rPr>
            </w:pPr>
            <w:r>
              <w:rPr>
                <w:rFonts w:ascii="Times New Roman" w:hAnsi="Times New Roman" w:eastAsia="宋体" w:cs="Times New Roman"/>
                <w:b/>
                <w:bCs/>
                <w:sz w:val="17"/>
                <w:szCs w:val="17"/>
              </w:rPr>
              <w:t>1006</w:t>
            </w:r>
          </w:p>
        </w:tc>
        <w:tc>
          <w:tcPr>
            <w:tcW w:w="540" w:type="dxa"/>
            <w:tcBorders>
              <w:tl2br w:val="nil"/>
              <w:tr2bl w:val="nil"/>
            </w:tcBorders>
            <w:shd w:val="clear" w:color="auto" w:fill="auto"/>
            <w:noWrap/>
            <w:tcMar>
              <w:top w:w="12" w:type="dxa"/>
              <w:left w:w="12" w:type="dxa"/>
              <w:right w:w="12" w:type="dxa"/>
            </w:tcMar>
            <w:vAlign w:val="center"/>
          </w:tcPr>
          <w:p w14:paraId="42846FCF">
            <w:pPr>
              <w:widowControl/>
              <w:jc w:val="center"/>
              <w:textAlignment w:val="center"/>
              <w:rPr>
                <w:rFonts w:ascii="Times New Roman" w:hAnsi="Times New Roman" w:eastAsia="宋体" w:cs="Times New Roman"/>
                <w:b/>
                <w:bCs/>
                <w:sz w:val="17"/>
                <w:szCs w:val="17"/>
              </w:rPr>
            </w:pPr>
            <w:r>
              <w:rPr>
                <w:rFonts w:hint="eastAsia" w:ascii="Times New Roman" w:hAnsi="Times New Roman" w:eastAsia="宋体" w:cs="Times New Roman"/>
                <w:b/>
                <w:bCs/>
                <w:sz w:val="17"/>
                <w:szCs w:val="17"/>
              </w:rPr>
              <w:t>8</w:t>
            </w:r>
          </w:p>
        </w:tc>
        <w:tc>
          <w:tcPr>
            <w:tcW w:w="570" w:type="dxa"/>
            <w:tcBorders>
              <w:tl2br w:val="nil"/>
              <w:tr2bl w:val="nil"/>
            </w:tcBorders>
            <w:shd w:val="clear" w:color="auto" w:fill="auto"/>
            <w:noWrap/>
            <w:tcMar>
              <w:top w:w="12" w:type="dxa"/>
              <w:left w:w="12" w:type="dxa"/>
              <w:right w:w="12" w:type="dxa"/>
            </w:tcMar>
            <w:vAlign w:val="center"/>
          </w:tcPr>
          <w:p w14:paraId="0301D564">
            <w:pPr>
              <w:widowControl/>
              <w:jc w:val="center"/>
              <w:textAlignment w:val="center"/>
              <w:rPr>
                <w:rFonts w:ascii="Times New Roman" w:hAnsi="Times New Roman" w:eastAsia="宋体" w:cs="Times New Roman"/>
                <w:b/>
                <w:bCs/>
                <w:sz w:val="17"/>
                <w:szCs w:val="17"/>
              </w:rPr>
            </w:pPr>
            <w:r>
              <w:rPr>
                <w:rFonts w:ascii="Times New Roman" w:hAnsi="Times New Roman" w:eastAsia="宋体" w:cs="Times New Roman"/>
                <w:b/>
                <w:bCs/>
                <w:sz w:val="17"/>
                <w:szCs w:val="17"/>
              </w:rPr>
              <w:t>99</w:t>
            </w:r>
            <w:r>
              <w:rPr>
                <w:rFonts w:hint="eastAsia" w:ascii="Times New Roman" w:hAnsi="Times New Roman" w:eastAsia="宋体" w:cs="Times New Roman"/>
                <w:b/>
                <w:bCs/>
                <w:sz w:val="17"/>
                <w:szCs w:val="17"/>
              </w:rPr>
              <w:t>8</w:t>
            </w:r>
          </w:p>
        </w:tc>
        <w:tc>
          <w:tcPr>
            <w:tcW w:w="558" w:type="dxa"/>
            <w:tcBorders>
              <w:tl2br w:val="nil"/>
              <w:tr2bl w:val="nil"/>
            </w:tcBorders>
            <w:shd w:val="clear" w:color="auto" w:fill="auto"/>
            <w:noWrap/>
            <w:tcMar>
              <w:top w:w="12" w:type="dxa"/>
              <w:left w:w="12" w:type="dxa"/>
              <w:right w:w="12" w:type="dxa"/>
            </w:tcMar>
            <w:vAlign w:val="center"/>
          </w:tcPr>
          <w:p w14:paraId="15C3A745">
            <w:pPr>
              <w:jc w:val="center"/>
              <w:rPr>
                <w:rFonts w:ascii="Times New Roman" w:hAnsi="Times New Roman" w:cs="Times New Roman"/>
                <w:b/>
                <w:kern w:val="0"/>
                <w:sz w:val="17"/>
                <w:szCs w:val="17"/>
              </w:rPr>
            </w:pPr>
          </w:p>
        </w:tc>
        <w:tc>
          <w:tcPr>
            <w:tcW w:w="619" w:type="dxa"/>
            <w:tcBorders>
              <w:tl2br w:val="nil"/>
              <w:tr2bl w:val="nil"/>
            </w:tcBorders>
            <w:shd w:val="clear" w:color="auto" w:fill="auto"/>
            <w:noWrap/>
            <w:tcMar>
              <w:top w:w="12" w:type="dxa"/>
              <w:left w:w="12" w:type="dxa"/>
              <w:right w:w="12" w:type="dxa"/>
            </w:tcMar>
            <w:vAlign w:val="center"/>
          </w:tcPr>
          <w:p w14:paraId="4741DA52">
            <w:pPr>
              <w:adjustRightInd w:val="0"/>
              <w:spacing w:line="200" w:lineRule="exact"/>
              <w:jc w:val="center"/>
              <w:rPr>
                <w:rFonts w:ascii="Times New Roman" w:hAnsi="Times New Roman" w:cs="Times New Roman"/>
                <w:b/>
                <w:kern w:val="0"/>
                <w:sz w:val="17"/>
                <w:szCs w:val="17"/>
              </w:rPr>
            </w:pPr>
          </w:p>
        </w:tc>
        <w:tc>
          <w:tcPr>
            <w:tcW w:w="1541" w:type="dxa"/>
            <w:tcBorders>
              <w:tl2br w:val="nil"/>
              <w:tr2bl w:val="nil"/>
            </w:tcBorders>
            <w:shd w:val="clear" w:color="auto" w:fill="auto"/>
            <w:noWrap/>
            <w:tcMar>
              <w:top w:w="12" w:type="dxa"/>
              <w:left w:w="12" w:type="dxa"/>
              <w:right w:w="12" w:type="dxa"/>
            </w:tcMar>
            <w:vAlign w:val="center"/>
          </w:tcPr>
          <w:p w14:paraId="492667C4">
            <w:pPr>
              <w:adjustRightInd w:val="0"/>
              <w:spacing w:line="200" w:lineRule="exact"/>
              <w:jc w:val="center"/>
              <w:rPr>
                <w:rFonts w:ascii="Times New Roman" w:hAnsi="Times New Roman" w:cs="Times New Roman"/>
                <w:b/>
                <w:kern w:val="0"/>
                <w:sz w:val="17"/>
                <w:szCs w:val="17"/>
              </w:rPr>
            </w:pPr>
          </w:p>
        </w:tc>
      </w:tr>
      <w:tr w14:paraId="66F214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4589" w:type="dxa"/>
            <w:gridSpan w:val="4"/>
            <w:tcBorders>
              <w:tl2br w:val="nil"/>
              <w:tr2bl w:val="nil"/>
            </w:tcBorders>
            <w:shd w:val="clear" w:color="auto" w:fill="auto"/>
            <w:tcMar>
              <w:top w:w="12" w:type="dxa"/>
              <w:left w:w="12" w:type="dxa"/>
              <w:right w:w="12" w:type="dxa"/>
            </w:tcMar>
            <w:vAlign w:val="center"/>
          </w:tcPr>
          <w:p w14:paraId="7B5FE4DB">
            <w:pPr>
              <w:adjustRightInd w:val="0"/>
              <w:spacing w:line="200" w:lineRule="exact"/>
              <w:jc w:val="center"/>
              <w:rPr>
                <w:rFonts w:ascii="Times New Roman" w:hAnsi="Times New Roman" w:cs="Times New Roman"/>
                <w:b/>
                <w:kern w:val="0"/>
                <w:sz w:val="17"/>
                <w:szCs w:val="17"/>
              </w:rPr>
            </w:pPr>
            <w:r>
              <w:rPr>
                <w:rFonts w:ascii="Times New Roman" w:hAnsi="Times New Roman" w:cs="Times New Roman"/>
                <w:b/>
                <w:kern w:val="0"/>
                <w:sz w:val="17"/>
                <w:szCs w:val="17"/>
              </w:rPr>
              <w:t>必修课总计</w:t>
            </w:r>
          </w:p>
        </w:tc>
        <w:tc>
          <w:tcPr>
            <w:tcW w:w="579" w:type="dxa"/>
            <w:tcBorders>
              <w:tl2br w:val="nil"/>
              <w:tr2bl w:val="nil"/>
            </w:tcBorders>
            <w:shd w:val="clear" w:color="auto" w:fill="auto"/>
            <w:tcMar>
              <w:top w:w="12" w:type="dxa"/>
              <w:left w:w="12" w:type="dxa"/>
              <w:right w:w="12" w:type="dxa"/>
            </w:tcMar>
            <w:vAlign w:val="center"/>
          </w:tcPr>
          <w:p w14:paraId="5D7560EC">
            <w:pPr>
              <w:jc w:val="center"/>
              <w:rPr>
                <w:rFonts w:ascii="Times New Roman" w:hAnsi="Times New Roman" w:cs="Times New Roman"/>
                <w:b/>
                <w:kern w:val="0"/>
                <w:sz w:val="17"/>
                <w:szCs w:val="17"/>
              </w:rPr>
            </w:pPr>
            <w:r>
              <w:rPr>
                <w:rFonts w:ascii="Times New Roman" w:hAnsi="Times New Roman" w:eastAsia="宋体" w:cs="Times New Roman"/>
                <w:b/>
                <w:bCs/>
                <w:kern w:val="0"/>
                <w:sz w:val="17"/>
                <w:szCs w:val="17"/>
                <w:lang w:bidi="ar"/>
              </w:rPr>
              <w:t>107</w:t>
            </w:r>
          </w:p>
        </w:tc>
        <w:tc>
          <w:tcPr>
            <w:tcW w:w="469" w:type="dxa"/>
            <w:tcBorders>
              <w:tl2br w:val="nil"/>
              <w:tr2bl w:val="nil"/>
            </w:tcBorders>
            <w:shd w:val="clear" w:color="auto" w:fill="auto"/>
            <w:tcMar>
              <w:top w:w="12" w:type="dxa"/>
              <w:left w:w="12" w:type="dxa"/>
              <w:right w:w="12" w:type="dxa"/>
            </w:tcMar>
            <w:vAlign w:val="center"/>
          </w:tcPr>
          <w:p w14:paraId="25049699">
            <w:pPr>
              <w:jc w:val="center"/>
              <w:rPr>
                <w:rFonts w:ascii="Times New Roman" w:hAnsi="Times New Roman" w:cs="Times New Roman"/>
                <w:b/>
                <w:kern w:val="0"/>
                <w:sz w:val="17"/>
                <w:szCs w:val="17"/>
              </w:rPr>
            </w:pPr>
            <w:r>
              <w:rPr>
                <w:rFonts w:ascii="Times New Roman" w:hAnsi="Times New Roman" w:eastAsia="宋体" w:cs="Times New Roman"/>
                <w:b/>
                <w:bCs/>
                <w:kern w:val="0"/>
                <w:sz w:val="17"/>
                <w:szCs w:val="17"/>
                <w:lang w:bidi="ar"/>
              </w:rPr>
              <w:t>2312</w:t>
            </w:r>
          </w:p>
        </w:tc>
        <w:tc>
          <w:tcPr>
            <w:tcW w:w="540" w:type="dxa"/>
            <w:tcBorders>
              <w:tl2br w:val="nil"/>
              <w:tr2bl w:val="nil"/>
            </w:tcBorders>
            <w:shd w:val="clear" w:color="auto" w:fill="auto"/>
            <w:tcMar>
              <w:top w:w="12" w:type="dxa"/>
              <w:left w:w="12" w:type="dxa"/>
              <w:right w:w="12" w:type="dxa"/>
            </w:tcMar>
            <w:vAlign w:val="center"/>
          </w:tcPr>
          <w:p w14:paraId="1D05608C">
            <w:pPr>
              <w:jc w:val="center"/>
              <w:rPr>
                <w:rFonts w:ascii="Times New Roman" w:hAnsi="Times New Roman" w:cs="Times New Roman"/>
                <w:b/>
                <w:kern w:val="0"/>
                <w:sz w:val="17"/>
                <w:szCs w:val="17"/>
              </w:rPr>
            </w:pPr>
            <w:r>
              <w:rPr>
                <w:rFonts w:hint="eastAsia" w:ascii="Times New Roman" w:hAnsi="Times New Roman" w:eastAsia="宋体" w:cs="Times New Roman"/>
                <w:b/>
                <w:bCs/>
                <w:kern w:val="0"/>
                <w:sz w:val="17"/>
                <w:szCs w:val="17"/>
                <w:lang w:bidi="ar"/>
              </w:rPr>
              <w:t>960</w:t>
            </w:r>
          </w:p>
        </w:tc>
        <w:tc>
          <w:tcPr>
            <w:tcW w:w="570" w:type="dxa"/>
            <w:tcBorders>
              <w:tl2br w:val="nil"/>
              <w:tr2bl w:val="nil"/>
            </w:tcBorders>
            <w:shd w:val="clear" w:color="auto" w:fill="auto"/>
            <w:tcMar>
              <w:top w:w="12" w:type="dxa"/>
              <w:left w:w="12" w:type="dxa"/>
              <w:right w:w="12" w:type="dxa"/>
            </w:tcMar>
            <w:vAlign w:val="center"/>
          </w:tcPr>
          <w:p w14:paraId="6900A548">
            <w:pPr>
              <w:jc w:val="center"/>
              <w:rPr>
                <w:rFonts w:ascii="Times New Roman" w:hAnsi="Times New Roman" w:cs="Times New Roman"/>
                <w:b/>
                <w:kern w:val="0"/>
                <w:sz w:val="17"/>
                <w:szCs w:val="17"/>
              </w:rPr>
            </w:pPr>
            <w:r>
              <w:rPr>
                <w:rFonts w:hint="eastAsia" w:ascii="Times New Roman" w:hAnsi="Times New Roman" w:eastAsia="宋体" w:cs="Times New Roman"/>
                <w:b/>
                <w:bCs/>
                <w:kern w:val="0"/>
                <w:sz w:val="17"/>
                <w:szCs w:val="17"/>
                <w:lang w:bidi="ar"/>
              </w:rPr>
              <w:t>1</w:t>
            </w:r>
            <w:r>
              <w:rPr>
                <w:rFonts w:ascii="Times New Roman" w:hAnsi="Times New Roman" w:eastAsia="宋体" w:cs="Times New Roman"/>
                <w:b/>
                <w:bCs/>
                <w:kern w:val="0"/>
                <w:sz w:val="17"/>
                <w:szCs w:val="17"/>
                <w:lang w:bidi="ar"/>
              </w:rPr>
              <w:t>352</w:t>
            </w:r>
          </w:p>
        </w:tc>
        <w:tc>
          <w:tcPr>
            <w:tcW w:w="558" w:type="dxa"/>
            <w:tcBorders>
              <w:tl2br w:val="nil"/>
              <w:tr2bl w:val="nil"/>
            </w:tcBorders>
            <w:shd w:val="clear" w:color="auto" w:fill="auto"/>
            <w:tcMar>
              <w:top w:w="12" w:type="dxa"/>
              <w:left w:w="12" w:type="dxa"/>
              <w:right w:w="12" w:type="dxa"/>
            </w:tcMar>
            <w:vAlign w:val="center"/>
          </w:tcPr>
          <w:p w14:paraId="5E293AEC">
            <w:pPr>
              <w:adjustRightInd w:val="0"/>
              <w:spacing w:line="200" w:lineRule="exact"/>
              <w:jc w:val="center"/>
              <w:rPr>
                <w:rFonts w:ascii="Times New Roman" w:hAnsi="Times New Roman" w:cs="Times New Roman"/>
                <w:b/>
                <w:kern w:val="0"/>
                <w:sz w:val="17"/>
                <w:szCs w:val="17"/>
              </w:rPr>
            </w:pPr>
          </w:p>
        </w:tc>
        <w:tc>
          <w:tcPr>
            <w:tcW w:w="619" w:type="dxa"/>
            <w:tcBorders>
              <w:tl2br w:val="nil"/>
              <w:tr2bl w:val="nil"/>
            </w:tcBorders>
            <w:shd w:val="clear" w:color="auto" w:fill="auto"/>
            <w:tcMar>
              <w:top w:w="12" w:type="dxa"/>
              <w:left w:w="12" w:type="dxa"/>
              <w:right w:w="12" w:type="dxa"/>
            </w:tcMar>
            <w:vAlign w:val="center"/>
          </w:tcPr>
          <w:p w14:paraId="323B9DB2">
            <w:pPr>
              <w:adjustRightInd w:val="0"/>
              <w:spacing w:line="200" w:lineRule="exact"/>
              <w:jc w:val="center"/>
              <w:rPr>
                <w:rFonts w:ascii="Times New Roman" w:hAnsi="Times New Roman" w:cs="Times New Roman"/>
                <w:b/>
                <w:kern w:val="0"/>
                <w:sz w:val="17"/>
                <w:szCs w:val="17"/>
              </w:rPr>
            </w:pPr>
          </w:p>
        </w:tc>
        <w:tc>
          <w:tcPr>
            <w:tcW w:w="1541" w:type="dxa"/>
            <w:tcBorders>
              <w:tl2br w:val="nil"/>
              <w:tr2bl w:val="nil"/>
            </w:tcBorders>
            <w:shd w:val="clear" w:color="auto" w:fill="auto"/>
            <w:tcMar>
              <w:top w:w="12" w:type="dxa"/>
              <w:left w:w="12" w:type="dxa"/>
              <w:right w:w="12" w:type="dxa"/>
            </w:tcMar>
            <w:vAlign w:val="center"/>
          </w:tcPr>
          <w:p w14:paraId="1BAA58FB">
            <w:pPr>
              <w:adjustRightInd w:val="0"/>
              <w:spacing w:line="200" w:lineRule="exact"/>
              <w:jc w:val="center"/>
              <w:rPr>
                <w:rFonts w:ascii="Times New Roman" w:hAnsi="Times New Roman" w:cs="Times New Roman"/>
                <w:b/>
                <w:kern w:val="0"/>
                <w:sz w:val="17"/>
                <w:szCs w:val="17"/>
              </w:rPr>
            </w:pPr>
          </w:p>
        </w:tc>
      </w:tr>
      <w:tr w14:paraId="72BFBE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9465" w:type="dxa"/>
            <w:gridSpan w:val="11"/>
            <w:tcBorders>
              <w:tl2br w:val="nil"/>
              <w:tr2bl w:val="nil"/>
            </w:tcBorders>
            <w:shd w:val="clear" w:color="auto" w:fill="auto"/>
            <w:tcMar>
              <w:top w:w="12" w:type="dxa"/>
              <w:left w:w="12" w:type="dxa"/>
              <w:right w:w="12" w:type="dxa"/>
            </w:tcMar>
            <w:vAlign w:val="center"/>
          </w:tcPr>
          <w:p w14:paraId="56772E75">
            <w:pPr>
              <w:adjustRightInd w:val="0"/>
              <w:spacing w:line="200" w:lineRule="exact"/>
              <w:jc w:val="center"/>
              <w:rPr>
                <w:rFonts w:ascii="Times New Roman" w:hAnsi="Times New Roman" w:eastAsia="宋体" w:cs="Times New Roman"/>
                <w:b/>
                <w:kern w:val="0"/>
                <w:sz w:val="17"/>
                <w:szCs w:val="17"/>
              </w:rPr>
            </w:pPr>
            <w:r>
              <w:rPr>
                <w:rFonts w:ascii="Times New Roman" w:hAnsi="Times New Roman" w:cs="Times New Roman"/>
                <w:b/>
                <w:kern w:val="0"/>
                <w:sz w:val="17"/>
                <w:szCs w:val="17"/>
              </w:rPr>
              <w:t>总学分/学时：</w:t>
            </w:r>
            <w:r>
              <w:rPr>
                <w:rFonts w:ascii="Times New Roman" w:hAnsi="Times New Roman" w:eastAsia="宋体" w:cs="Times New Roman"/>
                <w:b/>
                <w:bCs/>
                <w:sz w:val="18"/>
                <w:szCs w:val="18"/>
              </w:rPr>
              <w:t>126/</w:t>
            </w:r>
            <w:r>
              <w:rPr>
                <w:rFonts w:hint="eastAsia" w:ascii="Times New Roman" w:hAnsi="Times New Roman" w:eastAsia="宋体" w:cs="Times New Roman"/>
                <w:b/>
                <w:bCs/>
                <w:sz w:val="18"/>
                <w:szCs w:val="18"/>
              </w:rPr>
              <w:t>2</w:t>
            </w:r>
            <w:r>
              <w:rPr>
                <w:rFonts w:ascii="Times New Roman" w:hAnsi="Times New Roman" w:eastAsia="宋体" w:cs="Times New Roman"/>
                <w:b/>
                <w:bCs/>
                <w:sz w:val="18"/>
                <w:szCs w:val="18"/>
              </w:rPr>
              <w:t>60</w:t>
            </w:r>
            <w:r>
              <w:rPr>
                <w:rFonts w:hint="eastAsia" w:ascii="Times New Roman" w:hAnsi="Times New Roman" w:eastAsia="宋体" w:cs="Times New Roman"/>
                <w:b/>
                <w:bCs/>
                <w:sz w:val="18"/>
                <w:szCs w:val="18"/>
              </w:rPr>
              <w:t xml:space="preserve">0 </w:t>
            </w:r>
            <w:r>
              <w:rPr>
                <w:rFonts w:ascii="Times New Roman" w:hAnsi="Times New Roman" w:cs="Times New Roman"/>
                <w:b/>
                <w:kern w:val="0"/>
                <w:sz w:val="17"/>
                <w:szCs w:val="17"/>
              </w:rPr>
              <w:t>其中</w:t>
            </w:r>
            <w:r>
              <w:rPr>
                <w:rFonts w:hint="eastAsia" w:ascii="Times New Roman" w:hAnsi="Times New Roman" w:cs="Times New Roman"/>
                <w:b/>
                <w:kern w:val="0"/>
                <w:sz w:val="17"/>
                <w:szCs w:val="17"/>
              </w:rPr>
              <w:t xml:space="preserve"> </w:t>
            </w:r>
            <w:r>
              <w:rPr>
                <w:rFonts w:ascii="Times New Roman" w:hAnsi="Times New Roman" w:cs="Times New Roman"/>
                <w:b/>
                <w:kern w:val="0"/>
                <w:sz w:val="17"/>
                <w:szCs w:val="17"/>
              </w:rPr>
              <w:t>必修课学分/学时：</w:t>
            </w:r>
            <w:r>
              <w:rPr>
                <w:rFonts w:ascii="Times New Roman" w:hAnsi="Times New Roman" w:eastAsia="宋体" w:cs="Times New Roman"/>
                <w:b/>
                <w:bCs/>
                <w:sz w:val="18"/>
                <w:szCs w:val="18"/>
              </w:rPr>
              <w:t>：107/231</w:t>
            </w:r>
            <w:r>
              <w:rPr>
                <w:rFonts w:hint="eastAsia" w:ascii="Times New Roman" w:hAnsi="Times New Roman" w:eastAsia="宋体" w:cs="Times New Roman"/>
                <w:b/>
                <w:bCs/>
                <w:sz w:val="18"/>
                <w:szCs w:val="18"/>
              </w:rPr>
              <w:t>2</w:t>
            </w:r>
            <w:r>
              <w:rPr>
                <w:rFonts w:ascii="Times New Roman" w:hAnsi="Times New Roman" w:cs="Times New Roman"/>
                <w:b/>
                <w:kern w:val="0"/>
                <w:sz w:val="17"/>
                <w:szCs w:val="17"/>
              </w:rPr>
              <w:t>选修课学分/学时：</w:t>
            </w:r>
            <w:r>
              <w:rPr>
                <w:rFonts w:ascii="Times New Roman" w:hAnsi="Times New Roman" w:eastAsia="宋体" w:cs="Times New Roman"/>
                <w:b/>
                <w:bCs/>
                <w:sz w:val="18"/>
                <w:szCs w:val="18"/>
              </w:rPr>
              <w:t>1</w:t>
            </w:r>
            <w:r>
              <w:rPr>
                <w:rFonts w:hint="eastAsia" w:ascii="Times New Roman" w:hAnsi="Times New Roman" w:eastAsia="宋体" w:cs="Times New Roman"/>
                <w:b/>
                <w:bCs/>
                <w:sz w:val="18"/>
                <w:szCs w:val="18"/>
              </w:rPr>
              <w:t>9</w:t>
            </w:r>
            <w:r>
              <w:rPr>
                <w:rFonts w:ascii="Times New Roman" w:hAnsi="Times New Roman" w:eastAsia="宋体" w:cs="Times New Roman"/>
                <w:b/>
                <w:bCs/>
                <w:sz w:val="18"/>
                <w:szCs w:val="18"/>
              </w:rPr>
              <w:t>/</w:t>
            </w:r>
            <w:r>
              <w:rPr>
                <w:rFonts w:hint="eastAsia" w:ascii="Times New Roman" w:hAnsi="Times New Roman" w:eastAsia="宋体" w:cs="Times New Roman"/>
                <w:b/>
                <w:bCs/>
                <w:sz w:val="18"/>
                <w:szCs w:val="18"/>
              </w:rPr>
              <w:t>288</w:t>
            </w:r>
          </w:p>
        </w:tc>
      </w:tr>
    </w:tbl>
    <w:p w14:paraId="3463B402">
      <w:pPr>
        <w:overflowPunct w:val="0"/>
        <w:adjustRightInd w:val="0"/>
        <w:spacing w:before="62" w:beforeLines="20" w:after="62" w:afterLines="20" w:line="240" w:lineRule="exact"/>
        <w:ind w:firstLine="422" w:firstLineChars="200"/>
        <w:outlineLvl w:val="0"/>
        <w:rPr>
          <w:rFonts w:ascii="宋体" w:hAnsi="宋体" w:eastAsia="宋体" w:cs="宋体"/>
          <w:b/>
          <w:szCs w:val="32"/>
        </w:rPr>
        <w:sectPr>
          <w:footerReference r:id="rId3" w:type="default"/>
          <w:pgSz w:w="11906" w:h="16838"/>
          <w:pgMar w:top="1440" w:right="1800" w:bottom="1440" w:left="1800" w:header="851" w:footer="992" w:gutter="0"/>
          <w:cols w:space="425" w:num="1"/>
          <w:docGrid w:type="lines" w:linePitch="312" w:charSpace="0"/>
        </w:sectPr>
      </w:pPr>
    </w:p>
    <w:p w14:paraId="16BE5521">
      <w:pPr>
        <w:numPr>
          <w:ilvl w:val="0"/>
          <w:numId w:val="5"/>
        </w:numPr>
        <w:overflowPunct w:val="0"/>
        <w:adjustRightInd w:val="0"/>
        <w:spacing w:before="62" w:beforeLines="20" w:after="62" w:afterLines="20" w:line="240" w:lineRule="exact"/>
        <w:ind w:firstLine="422" w:firstLineChars="200"/>
        <w:outlineLvl w:val="0"/>
        <w:rPr>
          <w:rFonts w:ascii="宋体" w:hAnsi="宋体" w:eastAsia="宋体" w:cs="宋体"/>
          <w:b/>
          <w:szCs w:val="32"/>
        </w:rPr>
      </w:pPr>
      <w:r>
        <w:rPr>
          <w:rFonts w:hint="eastAsia" w:ascii="宋体" w:hAnsi="宋体" w:eastAsia="宋体" w:cs="宋体"/>
          <w:b/>
          <w:szCs w:val="32"/>
        </w:rPr>
        <w:t>课程设置流程图</w:t>
      </w:r>
    </w:p>
    <w:p w14:paraId="68DA9184">
      <w:pPr>
        <w:pStyle w:val="2"/>
        <w:spacing w:before="0" w:after="0"/>
        <w:ind w:firstLine="420"/>
        <w:jc w:val="center"/>
        <w:rPr>
          <w:rFonts w:ascii="黑体" w:hAnsi="黑体" w:eastAsia="黑体" w:cs="黑体"/>
          <w:kern w:val="0"/>
          <w:szCs w:val="21"/>
        </w:rPr>
      </w:pPr>
      <w:r>
        <w:rPr>
          <w:rFonts w:hint="eastAsia" w:ascii="黑体" w:hAnsi="黑体" w:eastAsia="黑体" w:cs="黑体"/>
          <w:kern w:val="0"/>
          <w:szCs w:val="21"/>
        </w:rPr>
        <w:t>新能源汽车检测与维修技术专业课程配置流程图</w:t>
      </w:r>
    </w:p>
    <w:p w14:paraId="162723AB">
      <w:pPr>
        <w:overflowPunct w:val="0"/>
        <w:adjustRightInd w:val="0"/>
        <w:jc w:val="center"/>
        <w:outlineLvl w:val="0"/>
        <w:rPr>
          <w:rFonts w:ascii="宋体" w:hAnsi="宋体" w:eastAsia="宋体" w:cs="宋体"/>
          <w:b/>
          <w:szCs w:val="32"/>
        </w:rPr>
      </w:pPr>
      <w:r>
        <w:rPr>
          <w:rFonts w:ascii="宋体" w:hAnsi="宋体" w:eastAsia="宋体" w:cs="宋体"/>
          <w:b/>
          <w:szCs w:val="32"/>
        </w:rPr>
        <w:object>
          <v:shape id="_x0000_i1025" o:spt="75" type="#_x0000_t75" style="height:385.15pt;width:566.5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14:paraId="4D6BD8BD">
      <w:pPr>
        <w:rPr>
          <w:rFonts w:ascii="黑体" w:hAnsi="黑体" w:eastAsia="黑体" w:cs="黑体"/>
          <w:bCs/>
          <w:sz w:val="24"/>
        </w:rPr>
        <w:sectPr>
          <w:pgSz w:w="16838" w:h="11906" w:orient="landscape"/>
          <w:pgMar w:top="1689" w:right="1327" w:bottom="1689" w:left="1327" w:header="851" w:footer="992" w:gutter="0"/>
          <w:cols w:space="0" w:num="1"/>
          <w:docGrid w:type="lines" w:linePitch="312" w:charSpace="0"/>
        </w:sectPr>
      </w:pPr>
    </w:p>
    <w:p w14:paraId="3B44468E">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八、实施保障</w:t>
      </w:r>
    </w:p>
    <w:p w14:paraId="062ED9D8">
      <w:pPr>
        <w:overflowPunct w:val="0"/>
        <w:adjustRightInd w:val="0"/>
        <w:spacing w:line="400" w:lineRule="exact"/>
        <w:ind w:firstLine="420" w:firstLineChars="200"/>
        <w:rPr>
          <w:rFonts w:ascii="宋体" w:hAnsi="宋体" w:eastAsia="宋体" w:cs="宋体"/>
        </w:rPr>
      </w:pPr>
      <w:r>
        <w:rPr>
          <w:rFonts w:hint="eastAsia" w:ascii="宋体" w:hAnsi="宋体" w:eastAsia="宋体" w:cs="宋体"/>
        </w:rPr>
        <w:t>主要包括师资队伍、教学设施、教学资源、教学方法等方面。</w:t>
      </w:r>
    </w:p>
    <w:p w14:paraId="08E1187D">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（一）师资队伍</w:t>
      </w:r>
    </w:p>
    <w:p w14:paraId="1C9D83AA">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1.教学团队</w:t>
      </w:r>
    </w:p>
    <w:p w14:paraId="60354560">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通过“内培外引，校企互聘”等方式，建立一支专业实战教学团队。教师精通本专业部分核心课程，专业知识扎实，专业视野宽广，实践技能较强，富有改革和创新精神。专业师资配备主要包括一名专业带头人、骨干教师数名、专兼教师比例1:1，整体生师比优于</w:t>
      </w:r>
      <w:r>
        <w:rPr>
          <w:rFonts w:ascii="宋体" w:hAnsi="宋体" w:eastAsia="宋体" w:cs="宋体"/>
          <w:bCs/>
          <w:szCs w:val="32"/>
        </w:rPr>
        <w:t>25:1</w:t>
      </w:r>
      <w:r>
        <w:rPr>
          <w:rFonts w:hint="eastAsia" w:ascii="宋体" w:hAnsi="宋体" w:eastAsia="宋体" w:cs="宋体"/>
          <w:bCs/>
          <w:szCs w:val="32"/>
        </w:rPr>
        <w:t>；其中，专任教师中获得职业资格证书或系列专业职称证书达80%以上，双师素质教师占比60%以上，团队整体素质优良，职称结构较为合理。</w:t>
      </w:r>
    </w:p>
    <w:p w14:paraId="7B685DFD">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2.专业教师任职条件</w:t>
      </w:r>
    </w:p>
    <w:p w14:paraId="4A48B49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大学本科以上学历，汽车相关专业毕业。</w:t>
      </w:r>
    </w:p>
    <w:p w14:paraId="0A338AA5">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3.专业师资队伍配置</w:t>
      </w:r>
    </w:p>
    <w:p w14:paraId="15FCFA67">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从专业带头人培养、骨干教师培养与引进、专业教师培养、兼职教师库建设等四个方面进行师资建设。通过高校进修、企业锻炼、行业培训等途径全方位实施。</w:t>
      </w:r>
    </w:p>
    <w:p w14:paraId="15881FEA">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（二）教学设施</w:t>
      </w:r>
    </w:p>
    <w:p w14:paraId="5651FF20">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1.专业教室基本条件</w:t>
      </w:r>
    </w:p>
    <w:p w14:paraId="63AD1973">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专业教室配备黑（白）板、多媒体计算机、投影设备、音响设备、互联网接入或Wi-Fi环境，并实施网络安全防护措施；安装应急照明装置并保持良好状态，符合紧急疏散要求，标志明显，保持逃生通道畅通无阻。</w:t>
      </w:r>
    </w:p>
    <w:p w14:paraId="550F9DD9">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2.校内实训室基本要求</w:t>
      </w:r>
    </w:p>
    <w:p w14:paraId="2978F5DA">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（1）电工电子实训室</w:t>
      </w:r>
    </w:p>
    <w:p w14:paraId="6365BAC3">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电工电子实训室应配备电工电子实验台、万用表、示波器等仪器设备，按照4-5人/台（套）配备，用于电工电子相关实验实训。</w:t>
      </w:r>
    </w:p>
    <w:p w14:paraId="44DEE6F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（2）汽车拆装实训室</w:t>
      </w:r>
    </w:p>
    <w:p w14:paraId="76DE947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汽车拆装实训室应配备汽车及总成部件、拆装台架，专用拆装工具，汽车检测检测设备与仪器，按照4-5人/台（套）配备，用于汽车及总成部件的拆装实训。</w:t>
      </w:r>
    </w:p>
    <w:p w14:paraId="263CD5B2">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（3）发动机检测与维修实训室</w:t>
      </w:r>
    </w:p>
    <w:p w14:paraId="07A97FCA">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发动机检测与维修实训室应配备发动机实训台、万用表、示波器、专用拆装工具、测量器具、故障诊断仪等，按照4-5人/台（套）配备，用于发动机检测与维修实训。</w:t>
      </w:r>
    </w:p>
    <w:p w14:paraId="1D67E07A">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（4）汽车底盘检测与维修实训室</w:t>
      </w:r>
    </w:p>
    <w:p w14:paraId="5B2BA28C">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汽车底盘检测与维修实训室应配备传动系统实训台、悬架系统实训台、转向系统实训台、制动系统实训台、专用拆装工具、测量器具、故障诊断仪等，按照4-5人/台（套）配备，用于汽车底盘各系统或总成的检测与维修实训。</w:t>
      </w:r>
    </w:p>
    <w:p w14:paraId="18EB1CD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（5）汽车电气系统检测与维修实训室</w:t>
      </w:r>
    </w:p>
    <w:p w14:paraId="47BA8747">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汽车电气系统检测与维修实训室应配备发电机、起动机等电气系统总成部件，整车电气系统实训台、照明系统实训台、空调系统实训台、安全气囊实训台、娱乐系统实训台等，以及万用表、故障诊断仪等仪器设备，按照4-5人/台（套）配备，用于汽车电气系统检测与维修实训。</w:t>
      </w:r>
    </w:p>
    <w:p w14:paraId="119C05F3">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（6）汽车维护及综合故障诊断实训室</w:t>
      </w:r>
    </w:p>
    <w:p w14:paraId="0AB70762">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汽车维护及综合故障诊断实训室应配备教学车辆、举升机、废气排放系统、拆装工具、诊断仪及专用工具等按照4-5人/台（套）配备，用于汽车维护及综合故障诊断实训。</w:t>
      </w:r>
    </w:p>
    <w:p w14:paraId="79214055">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3.校外实训基地基本要求</w:t>
      </w:r>
    </w:p>
    <w:p w14:paraId="7B752355">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具有稳定的校外实训基地，能提供汽车质量检测、汽车故障返修、汽车机电维修、服务顾问等相关实习岗位，能涵盖当前相关产业发展的主流技术，可接纳一定规模的学生实习；能够配备相应数量的指导教师对学生实习进行指导和管理；有保证实习日常工作、学习、生活的规章制度，有安全、保险保障。</w:t>
      </w:r>
    </w:p>
    <w:p w14:paraId="283973CD">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（三）教学资源</w:t>
      </w:r>
    </w:p>
    <w:p w14:paraId="555CF32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1.教材选用基本要求</w:t>
      </w:r>
    </w:p>
    <w:p w14:paraId="785299B5">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按照国家规定选用优质教材，禁止不合格的教材进入课堂。学校应建立专业教师、行业专家和教研人员等参与的教材选用机构，完善教材选用制度，经过规范程序择优选用教材。</w:t>
      </w:r>
    </w:p>
    <w:p w14:paraId="77179C6B">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2.图书文献配备基本要求</w:t>
      </w:r>
    </w:p>
    <w:p w14:paraId="15608654">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图书文献配备是满足人才培养、专业建设、教科研等工作的需要，方便师生查询、借阅。专业类图书文献主要包括：汽车制造行业政策法规、行业标准、技术规范以及主流汽车品牌相应车型的维修手册、电气与电子工艺手册等；汽车检测与维修专业技术图书和实务案列类图书；5种以上汽车检测与维修专业学术期刊等。</w:t>
      </w:r>
    </w:p>
    <w:p w14:paraId="5F219F35">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3.数字教学资源配备基本要求</w:t>
      </w:r>
    </w:p>
    <w:p w14:paraId="10DF5114">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建设、配备与本专业有关的音视频素材、教学课件、数字化教学案例库、虚拟仿真软件、数字教材等专业教学资源库，应种类丰富、形式多样、使用便捷、动态更新，能满足教学要求。</w:t>
      </w:r>
    </w:p>
    <w:p w14:paraId="2FFFFDFA">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（四）教学方法</w:t>
      </w:r>
    </w:p>
    <w:p w14:paraId="04E39C2F">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技术在教育教学中的应用，改进教学方式。</w:t>
      </w:r>
    </w:p>
    <w:p w14:paraId="7130DC58">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（五）学习评价</w:t>
      </w:r>
    </w:p>
    <w:p w14:paraId="52A9480A">
      <w:pPr>
        <w:overflowPunct w:val="0"/>
        <w:adjustRightInd w:val="0"/>
        <w:spacing w:line="400" w:lineRule="exact"/>
        <w:ind w:firstLine="420" w:firstLineChars="200"/>
        <w:outlineLvl w:val="0"/>
        <w:rPr>
          <w:rFonts w:ascii="宋体" w:hAnsi="宋体" w:eastAsia="宋体" w:cs="宋体"/>
          <w:bCs/>
          <w:szCs w:val="32"/>
        </w:rPr>
      </w:pPr>
      <w:r>
        <w:rPr>
          <w:rFonts w:hint="eastAsia" w:ascii="宋体" w:hAnsi="宋体" w:eastAsia="宋体" w:cs="宋体"/>
          <w:bCs/>
          <w:szCs w:val="32"/>
        </w:rPr>
        <w:t>要加强对教学过程的质量监控，改革教学评价的标准和方法。对学生的学业考核评价内容应兼顾认知、技能、情感等方面，评价应体现评价标准、评价主体、评价方式、评价过程的多元化，如观察、口试、笔试、顶岗操作、职业技能大赛、职业资格鉴定等评价、评定方式并鼓励开展第三方评价。</w:t>
      </w:r>
    </w:p>
    <w:p w14:paraId="03F800E7">
      <w:pPr>
        <w:overflowPunct w:val="0"/>
        <w:adjustRightInd w:val="0"/>
        <w:spacing w:line="400" w:lineRule="exact"/>
        <w:ind w:firstLine="422" w:firstLineChars="200"/>
        <w:outlineLvl w:val="0"/>
        <w:rPr>
          <w:rFonts w:ascii="宋体" w:hAnsi="宋体" w:eastAsia="宋体" w:cs="宋体"/>
          <w:b/>
          <w:szCs w:val="32"/>
        </w:rPr>
      </w:pPr>
      <w:r>
        <w:rPr>
          <w:rFonts w:hint="eastAsia" w:ascii="宋体" w:hAnsi="宋体" w:eastAsia="宋体" w:cs="宋体"/>
          <w:b/>
          <w:szCs w:val="32"/>
        </w:rPr>
        <w:t>（六）质量管理</w:t>
      </w:r>
    </w:p>
    <w:p w14:paraId="02E83C46">
      <w:pPr>
        <w:overflowPunct w:val="0"/>
        <w:adjustRightInd w:val="0"/>
        <w:spacing w:line="400" w:lineRule="exact"/>
        <w:ind w:firstLine="420" w:firstLineChars="200"/>
        <w:outlineLvl w:val="0"/>
        <w:rPr>
          <w:rFonts w:ascii="宋体" w:hAnsi="宋体" w:eastAsia="宋体" w:cs="宋体"/>
          <w:bCs/>
          <w:szCs w:val="21"/>
        </w:rPr>
      </w:pPr>
      <w:r>
        <w:rPr>
          <w:rFonts w:hint="eastAsia" w:ascii="宋体" w:hAnsi="宋体" w:eastAsia="宋体" w:cs="宋体"/>
          <w:bCs/>
          <w:szCs w:val="21"/>
        </w:rPr>
        <w:t>1.组织保障</w:t>
      </w:r>
    </w:p>
    <w:p w14:paraId="264CCA99">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学院成立以院长为组长的教学质量保障管理领导小组，具体负责本系各专业日常教学的具体管理和实施。</w:t>
      </w:r>
    </w:p>
    <w:p w14:paraId="58A82928">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2.制度保障</w:t>
      </w:r>
    </w:p>
    <w:p w14:paraId="5A8D98C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（1）学期初，根据学校工作计划制订本专业的教研计划，要求具体详实，切实可行、严禁形式化、任务性、应付检查；</w:t>
      </w:r>
    </w:p>
    <w:p w14:paraId="0CEACB7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（2）要详实记载每次教研活动的情况，及时反馈教师的意见和要求，以便于改进工作；</w:t>
      </w:r>
    </w:p>
    <w:p w14:paraId="3021659A">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（3）学期末，要写好教研工作总结，教师要完成教师业务档案的填写，学院要整理教师的科研工作量；</w:t>
      </w:r>
    </w:p>
    <w:p w14:paraId="0FF04270">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（4）所有教师都要在集体备课前认真钻研教材，阅读其他参考资料，明确本章节与其他章节、其他学科的关系及所处的地位，做好教案的书写或制作PPT；</w:t>
      </w:r>
    </w:p>
    <w:p w14:paraId="5342952D">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（5）建立考试试题库，对试题的题型、题量、知识点、检测形式等需要相关教师拟定，优中选优确定最佳试题；</w:t>
      </w:r>
    </w:p>
    <w:p w14:paraId="08964C6E">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（6）考试结束后写出试卷分析，根据考试中出现的问题，查找教学中的不足，以便采取补救措施。</w:t>
      </w:r>
    </w:p>
    <w:p w14:paraId="7A0E2CE1">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3.校企合作机制</w:t>
      </w:r>
    </w:p>
    <w:p w14:paraId="1358AFAC">
      <w:pPr>
        <w:adjustRightInd w:val="0"/>
        <w:snapToGrid w:val="0"/>
        <w:spacing w:line="400" w:lineRule="exact"/>
        <w:ind w:firstLine="420" w:firstLineChars="200"/>
        <w:rPr>
          <w:rFonts w:ascii="宋体" w:hAnsi="宋体" w:eastAsia="宋体" w:cs="宋体"/>
          <w:bCs/>
          <w:szCs w:val="21"/>
        </w:rPr>
      </w:pPr>
      <w:r>
        <w:rPr>
          <w:rFonts w:hint="eastAsia" w:ascii="宋体" w:hAnsi="宋体" w:eastAsia="宋体" w:cs="宋体"/>
          <w:bCs/>
          <w:szCs w:val="21"/>
        </w:rPr>
        <w:t>学校积极开展“校企合作”，通过企业与学校相互渗透，学校针对企业的发展需要设置专业方向，开设课程，为企业进行订单培养或利用学校资源为企业培训人员，为企业节约成本。同时，企业也主动向学校投资，建立利益共享关系，真正实现“教学—科研—开发”三位一体。与企业合作，共同建立、加强、创新兼职教师队伍培养、管理、考核制度。鼓励兼职教师参与人才培养方案制定、参与指导学生实习、参与教科研活动、参与教材建设、参与学术活动。鼓励企业选派优秀职工充实兼职教师队伍，引导教师为企业服务，做到校企双赢。通过兼职教师的讲座、授课、指导专业竞赛不仅提高学生的专业能力，在职业道德上也能受到教育与指导。专职教师通过听课、评课，提高实践能力，丰富实践案例。在教学的方式、内容、方法、时段、地点、薪酬等方面，创新思路，满足企业、兼职教师、学校、学生的需求，最终提高人才培养质量。</w:t>
      </w:r>
    </w:p>
    <w:p w14:paraId="765FC780">
      <w:pPr>
        <w:adjustRightInd w:val="0"/>
        <w:snapToGrid w:val="0"/>
        <w:spacing w:line="400" w:lineRule="exact"/>
        <w:ind w:firstLine="480" w:firstLineChars="200"/>
        <w:rPr>
          <w:rFonts w:ascii="黑体" w:hAnsi="黑体" w:eastAsia="黑体" w:cs="黑体"/>
          <w:bCs/>
          <w:sz w:val="24"/>
        </w:rPr>
      </w:pPr>
      <w:r>
        <w:rPr>
          <w:rFonts w:hint="eastAsia" w:ascii="黑体" w:hAnsi="黑体" w:eastAsia="黑体" w:cs="黑体"/>
          <w:bCs/>
          <w:sz w:val="24"/>
        </w:rPr>
        <w:t>九、毕业要求</w:t>
      </w:r>
    </w:p>
    <w:p w14:paraId="23908A51">
      <w:pPr>
        <w:overflowPunct w:val="0"/>
        <w:adjustRightInd w:val="0"/>
        <w:spacing w:line="400" w:lineRule="exact"/>
        <w:ind w:firstLine="420" w:firstLineChars="200"/>
        <w:outlineLvl w:val="0"/>
        <w:rPr>
          <w:rFonts w:ascii="Times New Roman" w:hAnsi="Times New Roman" w:eastAsia="宋体" w:cs="宋体"/>
        </w:rPr>
      </w:pPr>
      <w:r>
        <w:rPr>
          <w:rFonts w:hint="eastAsia" w:ascii="Times New Roman" w:hAnsi="Times New Roman" w:eastAsia="宋体" w:cs="宋体"/>
        </w:rPr>
        <w:t>1.德育审核合格；</w:t>
      </w:r>
    </w:p>
    <w:p w14:paraId="77F842B5">
      <w:pPr>
        <w:overflowPunct w:val="0"/>
        <w:adjustRightInd w:val="0"/>
        <w:spacing w:line="400" w:lineRule="exact"/>
        <w:ind w:firstLine="420" w:firstLineChars="200"/>
        <w:outlineLvl w:val="0"/>
        <w:rPr>
          <w:rFonts w:ascii="Times New Roman" w:hAnsi="Times New Roman" w:eastAsia="宋体" w:cs="宋体"/>
        </w:rPr>
      </w:pPr>
      <w:r>
        <w:rPr>
          <w:rFonts w:hint="eastAsia" w:ascii="Times New Roman" w:hAnsi="Times New Roman" w:eastAsia="宋体" w:cs="宋体"/>
        </w:rPr>
        <w:t>2.《国家学生体制健康标准》达标；</w:t>
      </w:r>
    </w:p>
    <w:p w14:paraId="0A6C4381">
      <w:pPr>
        <w:overflowPunct w:val="0"/>
        <w:adjustRightInd w:val="0"/>
        <w:spacing w:line="400" w:lineRule="exact"/>
        <w:ind w:firstLine="420" w:firstLineChars="200"/>
        <w:outlineLvl w:val="0"/>
        <w:rPr>
          <w:rFonts w:ascii="Times New Roman" w:hAnsi="Times New Roman" w:eastAsia="宋体" w:cs="宋体"/>
        </w:rPr>
      </w:pPr>
      <w:r>
        <w:rPr>
          <w:rFonts w:hint="eastAsia" w:ascii="Times New Roman" w:hAnsi="Times New Roman" w:eastAsia="宋体" w:cs="宋体"/>
        </w:rPr>
        <w:t>3.本专业必须修满规定的126学分；</w:t>
      </w:r>
    </w:p>
    <w:p w14:paraId="267FF787">
      <w:pPr>
        <w:overflowPunct w:val="0"/>
        <w:adjustRightInd w:val="0"/>
        <w:spacing w:line="400" w:lineRule="exact"/>
        <w:ind w:firstLine="420" w:firstLineChars="200"/>
        <w:outlineLvl w:val="0"/>
        <w:rPr>
          <w:rFonts w:hint="eastAsia" w:ascii="Times New Roman" w:hAnsi="Times New Roman" w:eastAsia="宋体" w:cs="宋体"/>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宋体" w:cs="宋体"/>
        </w:rPr>
        <w:t>4.完成素质拓展最低学分要求（8学分）。</w:t>
      </w:r>
    </w:p>
    <w:p w14:paraId="44E52AF4">
      <w:pPr>
        <w:adjustRightInd w:val="0"/>
        <w:snapToGrid w:val="0"/>
        <w:spacing w:line="400" w:lineRule="exact"/>
        <w:ind w:firstLine="480" w:firstLineChars="200"/>
        <w:rPr>
          <w:rFonts w:ascii="Times New Roman" w:hAnsi="Times New Roman" w:eastAsia="黑体" w:cs="黑体"/>
          <w:bCs/>
          <w:sz w:val="24"/>
        </w:rPr>
      </w:pPr>
      <w:r>
        <w:rPr>
          <w:rFonts w:hint="eastAsia" w:ascii="Times New Roman" w:hAnsi="Times New Roman" w:eastAsia="黑体" w:cs="黑体"/>
          <w:bCs/>
          <w:sz w:val="24"/>
        </w:rPr>
        <w:t>十、附录</w:t>
      </w:r>
    </w:p>
    <w:p w14:paraId="26ADA716">
      <w:pPr>
        <w:spacing w:line="400" w:lineRule="exact"/>
        <w:jc w:val="center"/>
        <w:rPr>
          <w:rFonts w:ascii="Times New Roman" w:hAnsi="Times New Roman" w:cs="宋体"/>
          <w:b/>
          <w:bCs/>
          <w:spacing w:val="20"/>
          <w:sz w:val="36"/>
          <w:szCs w:val="36"/>
        </w:rPr>
      </w:pPr>
    </w:p>
    <w:p w14:paraId="6EEFC5AA">
      <w:pPr>
        <w:spacing w:line="400" w:lineRule="exact"/>
        <w:jc w:val="center"/>
        <w:rPr>
          <w:rFonts w:ascii="Times New Roman" w:hAnsi="Times New Roman" w:eastAsia="方正小标宋简体" w:cs="方正小标宋简体"/>
          <w:spacing w:val="20"/>
          <w:sz w:val="36"/>
          <w:szCs w:val="36"/>
        </w:rPr>
      </w:pPr>
      <w:r>
        <w:rPr>
          <w:rFonts w:hint="eastAsia" w:ascii="Times New Roman" w:hAnsi="Times New Roman" w:eastAsia="方正小标宋简体" w:cs="方正小标宋简体"/>
          <w:spacing w:val="20"/>
          <w:sz w:val="36"/>
          <w:szCs w:val="36"/>
        </w:rPr>
        <w:t>黄河交通学院人才培养方案调整申请表</w:t>
      </w:r>
    </w:p>
    <w:p w14:paraId="7F7F0051">
      <w:pPr>
        <w:ind w:left="-540" w:leftChars="-257" w:firstLine="720" w:firstLineChars="300"/>
        <w:jc w:val="left"/>
        <w:rPr>
          <w:rFonts w:ascii="Times New Roman" w:hAnsi="Times New Roman" w:eastAsia="黑体"/>
          <w:sz w:val="24"/>
        </w:rPr>
      </w:pPr>
    </w:p>
    <w:p w14:paraId="463C237A">
      <w:pPr>
        <w:ind w:left="-540" w:leftChars="-257" w:firstLine="720" w:firstLineChars="300"/>
        <w:jc w:val="left"/>
        <w:rPr>
          <w:rFonts w:ascii="Times New Roman" w:hAnsi="Times New Roman" w:eastAsia="黑体"/>
          <w:b/>
          <w:bCs/>
          <w:sz w:val="28"/>
        </w:rPr>
      </w:pPr>
      <w:r>
        <w:rPr>
          <w:rFonts w:hint="eastAsia" w:ascii="Times New Roman" w:hAnsi="Times New Roman" w:eastAsia="黑体"/>
          <w:sz w:val="24"/>
        </w:rPr>
        <w:t>学院：</w:t>
      </w:r>
      <w:r>
        <w:rPr>
          <w:rFonts w:ascii="Times New Roman" w:hAnsi="Times New Roman" w:eastAsia="黑体"/>
          <w:sz w:val="24"/>
          <w:szCs w:val="30"/>
          <w:u w:val="single"/>
        </w:rPr>
        <w:t xml:space="preserve">      </w:t>
      </w:r>
      <w:r>
        <w:rPr>
          <w:rFonts w:hint="eastAsia" w:ascii="Times New Roman" w:hAnsi="Times New Roman" w:eastAsia="黑体"/>
          <w:sz w:val="24"/>
          <w:szCs w:val="30"/>
          <w:u w:val="single"/>
        </w:rPr>
        <w:t xml:space="preserve">          </w:t>
      </w:r>
      <w:r>
        <w:rPr>
          <w:rFonts w:hint="eastAsia" w:ascii="Times New Roman" w:hAnsi="Times New Roman" w:eastAsia="黑体"/>
          <w:sz w:val="24"/>
          <w:szCs w:val="30"/>
        </w:rPr>
        <w:t xml:space="preserve"> 学年学期： </w:t>
      </w:r>
      <w:r>
        <w:rPr>
          <w:rFonts w:hint="eastAsia" w:ascii="Times New Roman" w:hAnsi="Times New Roman" w:eastAsia="黑体"/>
          <w:sz w:val="24"/>
          <w:szCs w:val="30"/>
          <w:u w:val="single"/>
        </w:rPr>
        <w:t xml:space="preserve">               </w:t>
      </w:r>
      <w:r>
        <w:rPr>
          <w:rFonts w:hint="eastAsia" w:ascii="Times New Roman" w:hAnsi="Times New Roman" w:eastAsia="黑体"/>
          <w:sz w:val="24"/>
          <w:szCs w:val="30"/>
        </w:rPr>
        <w:t xml:space="preserve"> 编号： </w:t>
      </w:r>
      <w:r>
        <w:rPr>
          <w:rFonts w:hint="eastAsia" w:ascii="Times New Roman" w:hAnsi="Times New Roman" w:eastAsia="黑体"/>
          <w:sz w:val="24"/>
          <w:szCs w:val="30"/>
          <w:u w:val="single"/>
        </w:rPr>
        <w:t xml:space="preserve">           </w:t>
      </w:r>
      <w:r>
        <w:rPr>
          <w:rFonts w:hint="eastAsia" w:ascii="Times New Roman" w:hAnsi="Times New Roman" w:eastAsia="黑体"/>
          <w:b/>
          <w:sz w:val="24"/>
          <w:szCs w:val="30"/>
          <w:u w:val="single"/>
        </w:rPr>
        <w:t xml:space="preserve">  </w:t>
      </w:r>
      <w:r>
        <w:rPr>
          <w:rFonts w:hint="eastAsia" w:ascii="Times New Roman" w:hAnsi="Times New Roman" w:eastAsia="黑体"/>
          <w:b/>
          <w:sz w:val="24"/>
          <w:szCs w:val="30"/>
        </w:rPr>
        <w:t xml:space="preserve">  </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9"/>
        <w:gridCol w:w="1899"/>
        <w:gridCol w:w="900"/>
        <w:gridCol w:w="1080"/>
        <w:gridCol w:w="837"/>
        <w:gridCol w:w="783"/>
        <w:gridCol w:w="540"/>
        <w:gridCol w:w="2160"/>
      </w:tblGrid>
      <w:tr w14:paraId="02907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0C29E97F">
            <w:pPr>
              <w:spacing w:line="400" w:lineRule="exact"/>
              <w:rPr>
                <w:rFonts w:ascii="Times New Roman" w:hAnsi="Times New Roman" w:eastAsia="仿宋" w:cs="仿宋"/>
                <w:szCs w:val="21"/>
              </w:rPr>
            </w:pPr>
            <w:r>
              <w:rPr>
                <w:rFonts w:hint="eastAsia" w:ascii="Times New Roman" w:hAnsi="Times New Roman" w:eastAsia="仿宋" w:cs="仿宋"/>
                <w:b/>
                <w:bCs/>
                <w:szCs w:val="21"/>
              </w:rPr>
              <w:t>课程名称</w:t>
            </w:r>
            <w:r>
              <w:rPr>
                <w:rFonts w:hint="eastAsia" w:ascii="Times New Roman" w:hAnsi="Times New Roman"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3EEF6F60">
            <w:pPr>
              <w:spacing w:line="400" w:lineRule="exact"/>
              <w:rPr>
                <w:rFonts w:ascii="Times New Roman" w:hAnsi="Times New Roman" w:eastAsia="仿宋" w:cs="仿宋"/>
                <w:b/>
                <w:szCs w:val="21"/>
              </w:rPr>
            </w:pPr>
            <w:r>
              <w:rPr>
                <w:rFonts w:hint="eastAsia" w:ascii="Times New Roman" w:hAnsi="Times New Roman" w:eastAsia="仿宋" w:cs="仿宋"/>
                <w:b/>
                <w:szCs w:val="21"/>
              </w:rPr>
              <w:t>课程编号：</w:t>
            </w:r>
          </w:p>
        </w:tc>
      </w:tr>
      <w:tr w14:paraId="0587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265" w:type="dxa"/>
            <w:gridSpan w:val="5"/>
            <w:tcBorders>
              <w:top w:val="single" w:color="auto" w:sz="4" w:space="0"/>
              <w:left w:val="single" w:color="auto" w:sz="4" w:space="0"/>
              <w:bottom w:val="single" w:color="auto" w:sz="4" w:space="0"/>
              <w:right w:val="single" w:color="auto" w:sz="4" w:space="0"/>
            </w:tcBorders>
            <w:vAlign w:val="center"/>
          </w:tcPr>
          <w:p w14:paraId="7C6DCD9A">
            <w:pPr>
              <w:spacing w:line="400" w:lineRule="exact"/>
              <w:rPr>
                <w:rFonts w:ascii="Times New Roman" w:hAnsi="Times New Roman" w:eastAsia="仿宋" w:cs="仿宋"/>
                <w:szCs w:val="21"/>
              </w:rPr>
            </w:pPr>
            <w:r>
              <w:rPr>
                <w:rFonts w:hint="eastAsia" w:ascii="Times New Roman" w:hAnsi="Times New Roman" w:eastAsia="仿宋" w:cs="仿宋"/>
                <w:b/>
                <w:bCs/>
                <w:szCs w:val="21"/>
              </w:rPr>
              <w:t>授课对象</w:t>
            </w:r>
            <w:r>
              <w:rPr>
                <w:rFonts w:hint="eastAsia" w:ascii="Times New Roman" w:hAnsi="Times New Roman" w:eastAsia="仿宋" w:cs="仿宋"/>
                <w:szCs w:val="21"/>
              </w:rPr>
              <w:t>：</w:t>
            </w:r>
          </w:p>
        </w:tc>
        <w:tc>
          <w:tcPr>
            <w:tcW w:w="3483" w:type="dxa"/>
            <w:gridSpan w:val="3"/>
            <w:tcBorders>
              <w:top w:val="single" w:color="auto" w:sz="4" w:space="0"/>
              <w:left w:val="single" w:color="auto" w:sz="4" w:space="0"/>
              <w:bottom w:val="single" w:color="auto" w:sz="4" w:space="0"/>
              <w:right w:val="single" w:color="auto" w:sz="4" w:space="0"/>
            </w:tcBorders>
            <w:vAlign w:val="center"/>
          </w:tcPr>
          <w:p w14:paraId="1B757E9E">
            <w:pPr>
              <w:spacing w:line="400" w:lineRule="exact"/>
              <w:rPr>
                <w:rFonts w:ascii="Times New Roman" w:hAnsi="Times New Roman" w:eastAsia="仿宋" w:cs="仿宋"/>
                <w:b/>
                <w:bCs/>
                <w:szCs w:val="21"/>
              </w:rPr>
            </w:pPr>
            <w:r>
              <w:rPr>
                <w:rFonts w:hint="eastAsia" w:ascii="Times New Roman" w:hAnsi="Times New Roman" w:eastAsia="仿宋" w:cs="仿宋"/>
                <w:b/>
                <w:bCs/>
                <w:szCs w:val="21"/>
              </w:rPr>
              <w:t>所在院部：</w:t>
            </w:r>
          </w:p>
        </w:tc>
      </w:tr>
      <w:tr w14:paraId="12ACE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2DC5A738">
            <w:pPr>
              <w:spacing w:line="400" w:lineRule="exact"/>
              <w:rPr>
                <w:rFonts w:ascii="Times New Roman" w:hAnsi="Times New Roman" w:eastAsia="仿宋" w:cs="仿宋"/>
                <w:b/>
                <w:bCs/>
                <w:szCs w:val="21"/>
                <w:bdr w:val="single" w:color="auto" w:sz="4" w:space="0"/>
              </w:rPr>
            </w:pPr>
            <w:r>
              <w:rPr>
                <w:rFonts w:hint="eastAsia" w:ascii="Times New Roman" w:hAnsi="Times New Roman" w:eastAsia="仿宋" w:cs="仿宋"/>
                <w:b/>
                <w:bCs/>
                <w:szCs w:val="21"/>
              </w:rPr>
              <w:t xml:space="preserve">课程性质：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 xml:space="preserve">公共必修课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 xml:space="preserve">专业基础课    </w:t>
            </w:r>
            <w:r>
              <w:rPr>
                <w:rFonts w:hint="eastAsia" w:ascii="Times New Roman" w:hAnsi="Times New Roman" w:eastAsia="仿宋" w:cs="仿宋"/>
                <w:szCs w:val="21"/>
              </w:rPr>
              <w:sym w:font="Wingdings 2" w:char="00A3"/>
            </w:r>
            <w:r>
              <w:rPr>
                <w:rFonts w:hint="eastAsia" w:ascii="Times New Roman" w:hAnsi="Times New Roman" w:eastAsia="仿宋" w:cs="仿宋"/>
                <w:szCs w:val="21"/>
              </w:rPr>
              <w:t>专业课</w:t>
            </w:r>
          </w:p>
        </w:tc>
      </w:tr>
      <w:tr w14:paraId="504B6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0D77CD64">
            <w:pPr>
              <w:adjustRightInd w:val="0"/>
              <w:spacing w:line="200" w:lineRule="exact"/>
              <w:jc w:val="center"/>
              <w:rPr>
                <w:rFonts w:ascii="Times New Roman" w:hAnsi="Times New Roman" w:eastAsia="仿宋" w:cs="仿宋"/>
                <w:b/>
                <w:kern w:val="0"/>
                <w:sz w:val="18"/>
                <w:szCs w:val="18"/>
                <w:lang w:bidi="ar"/>
              </w:rPr>
            </w:pPr>
            <w:r>
              <w:rPr>
                <w:rFonts w:hint="eastAsia" w:ascii="Times New Roman" w:hAnsi="Times New Roman" w:eastAsia="仿宋" w:cs="仿宋"/>
                <w:b/>
                <w:kern w:val="0"/>
                <w:sz w:val="18"/>
                <w:szCs w:val="18"/>
                <w:lang w:bidi="ar"/>
              </w:rPr>
              <w:t>原计划</w:t>
            </w:r>
          </w:p>
        </w:tc>
        <w:tc>
          <w:tcPr>
            <w:tcW w:w="1899" w:type="dxa"/>
            <w:tcBorders>
              <w:top w:val="single" w:color="auto" w:sz="4" w:space="0"/>
              <w:left w:val="single" w:color="auto" w:sz="4" w:space="0"/>
              <w:bottom w:val="single" w:color="auto" w:sz="4" w:space="0"/>
              <w:right w:val="single" w:color="auto" w:sz="4" w:space="0"/>
            </w:tcBorders>
            <w:vAlign w:val="center"/>
          </w:tcPr>
          <w:p w14:paraId="480F1B9E">
            <w:pPr>
              <w:spacing w:line="400" w:lineRule="exact"/>
              <w:ind w:left="6"/>
              <w:rPr>
                <w:rFonts w:ascii="Times New Roman" w:hAnsi="Times New Roman" w:eastAsia="仿宋" w:cs="仿宋"/>
                <w:szCs w:val="21"/>
              </w:rPr>
            </w:pPr>
            <w:r>
              <w:rPr>
                <w:rFonts w:hint="eastAsia" w:ascii="Times New Roman" w:hAnsi="Times New Roman"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06A34F46">
            <w:pPr>
              <w:spacing w:line="400" w:lineRule="exact"/>
              <w:rPr>
                <w:rFonts w:ascii="Times New Roman" w:hAnsi="Times New Roman" w:eastAsia="仿宋" w:cs="仿宋"/>
                <w:szCs w:val="21"/>
              </w:rPr>
            </w:pPr>
            <w:r>
              <w:rPr>
                <w:rFonts w:hint="eastAsia" w:ascii="Times New Roman" w:hAnsi="Times New Roman"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4224DFDC">
            <w:pPr>
              <w:spacing w:line="400" w:lineRule="exact"/>
              <w:rPr>
                <w:rFonts w:ascii="Times New Roman" w:hAnsi="Times New Roman" w:eastAsia="仿宋" w:cs="仿宋"/>
                <w:szCs w:val="21"/>
              </w:rPr>
            </w:pPr>
            <w:r>
              <w:rPr>
                <w:rFonts w:hint="eastAsia" w:ascii="Times New Roman" w:hAnsi="Times New Roman"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1BACD3F0">
            <w:pPr>
              <w:spacing w:line="400" w:lineRule="exact"/>
              <w:rPr>
                <w:rFonts w:ascii="Times New Roman" w:hAnsi="Times New Roman" w:eastAsia="仿宋" w:cs="仿宋"/>
                <w:szCs w:val="21"/>
              </w:rPr>
            </w:pPr>
            <w:r>
              <w:rPr>
                <w:rFonts w:hint="eastAsia" w:ascii="Times New Roman" w:hAnsi="Times New Roman" w:eastAsia="仿宋" w:cs="仿宋"/>
                <w:szCs w:val="21"/>
              </w:rPr>
              <w:t>实验学时：</w:t>
            </w:r>
          </w:p>
        </w:tc>
      </w:tr>
      <w:tr w14:paraId="5E436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7912042E">
            <w:pPr>
              <w:adjustRightInd w:val="0"/>
              <w:spacing w:line="200" w:lineRule="exact"/>
              <w:jc w:val="center"/>
              <w:rPr>
                <w:rFonts w:ascii="Times New Roman" w:hAnsi="Times New Roman" w:eastAsia="仿宋" w:cs="仿宋"/>
                <w:b/>
                <w:kern w:val="0"/>
                <w:sz w:val="18"/>
                <w:szCs w:val="18"/>
                <w:lang w:bidi="ar"/>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4337492E">
            <w:pPr>
              <w:spacing w:line="400" w:lineRule="exact"/>
              <w:ind w:left="6"/>
              <w:rPr>
                <w:rFonts w:ascii="Times New Roman" w:hAnsi="Times New Roman" w:eastAsia="仿宋" w:cs="仿宋"/>
                <w:szCs w:val="21"/>
              </w:rPr>
            </w:pPr>
            <w:r>
              <w:rPr>
                <w:rFonts w:hint="eastAsia" w:ascii="Times New Roman" w:hAnsi="Times New Roman"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3AFF35EA">
            <w:pPr>
              <w:spacing w:line="400" w:lineRule="exact"/>
              <w:rPr>
                <w:rFonts w:ascii="Times New Roman" w:hAnsi="Times New Roman" w:eastAsia="仿宋" w:cs="仿宋"/>
                <w:szCs w:val="21"/>
              </w:rPr>
            </w:pPr>
            <w:r>
              <w:rPr>
                <w:rFonts w:hint="eastAsia" w:ascii="Times New Roman" w:hAnsi="Times New Roman" w:eastAsia="仿宋" w:cs="仿宋"/>
                <w:szCs w:val="21"/>
              </w:rPr>
              <w:t>开课单位：</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6BC4216E">
            <w:pPr>
              <w:spacing w:line="400" w:lineRule="exact"/>
              <w:rPr>
                <w:rFonts w:ascii="Times New Roman" w:hAnsi="Times New Roman" w:eastAsia="仿宋" w:cs="仿宋"/>
                <w:szCs w:val="21"/>
              </w:rPr>
            </w:pPr>
            <w:r>
              <w:rPr>
                <w:rFonts w:hint="eastAsia" w:ascii="Times New Roman" w:hAnsi="Times New Roman" w:eastAsia="仿宋" w:cs="仿宋"/>
                <w:szCs w:val="21"/>
              </w:rPr>
              <w:t>课程性质：必修/选修</w:t>
            </w:r>
          </w:p>
        </w:tc>
      </w:tr>
      <w:tr w14:paraId="6EF3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549" w:type="dxa"/>
            <w:vMerge w:val="restart"/>
            <w:tcBorders>
              <w:top w:val="single" w:color="auto" w:sz="4" w:space="0"/>
              <w:left w:val="single" w:color="auto" w:sz="4" w:space="0"/>
              <w:bottom w:val="single" w:color="auto" w:sz="4" w:space="0"/>
              <w:right w:val="single" w:color="auto" w:sz="4" w:space="0"/>
            </w:tcBorders>
            <w:vAlign w:val="center"/>
          </w:tcPr>
          <w:p w14:paraId="5AE5B086">
            <w:pPr>
              <w:adjustRightInd w:val="0"/>
              <w:spacing w:line="200" w:lineRule="exact"/>
              <w:jc w:val="center"/>
              <w:rPr>
                <w:rFonts w:ascii="Times New Roman" w:hAnsi="Times New Roman" w:eastAsia="仿宋" w:cs="仿宋"/>
                <w:b/>
                <w:kern w:val="0"/>
                <w:sz w:val="18"/>
                <w:szCs w:val="18"/>
                <w:lang w:bidi="ar"/>
              </w:rPr>
            </w:pPr>
            <w:r>
              <w:rPr>
                <w:rFonts w:hint="eastAsia" w:ascii="Times New Roman" w:hAnsi="Times New Roman" w:eastAsia="仿宋" w:cs="仿宋"/>
                <w:b/>
                <w:kern w:val="0"/>
                <w:sz w:val="18"/>
                <w:szCs w:val="18"/>
                <w:lang w:bidi="ar"/>
              </w:rPr>
              <w:t>调整后</w:t>
            </w:r>
          </w:p>
        </w:tc>
        <w:tc>
          <w:tcPr>
            <w:tcW w:w="1899" w:type="dxa"/>
            <w:tcBorders>
              <w:top w:val="single" w:color="auto" w:sz="4" w:space="0"/>
              <w:left w:val="single" w:color="auto" w:sz="4" w:space="0"/>
              <w:bottom w:val="single" w:color="auto" w:sz="4" w:space="0"/>
              <w:right w:val="single" w:color="auto" w:sz="4" w:space="0"/>
            </w:tcBorders>
            <w:vAlign w:val="center"/>
          </w:tcPr>
          <w:p w14:paraId="38B1F286">
            <w:pPr>
              <w:spacing w:line="400" w:lineRule="exact"/>
              <w:rPr>
                <w:rFonts w:ascii="Times New Roman" w:hAnsi="Times New Roman" w:eastAsia="仿宋" w:cs="仿宋"/>
                <w:szCs w:val="21"/>
              </w:rPr>
            </w:pPr>
            <w:r>
              <w:rPr>
                <w:rFonts w:hint="eastAsia" w:ascii="Times New Roman" w:hAnsi="Times New Roman" w:eastAsia="仿宋" w:cs="仿宋"/>
                <w:szCs w:val="21"/>
              </w:rPr>
              <w:t>学分：</w:t>
            </w:r>
          </w:p>
        </w:tc>
        <w:tc>
          <w:tcPr>
            <w:tcW w:w="1980" w:type="dxa"/>
            <w:gridSpan w:val="2"/>
            <w:tcBorders>
              <w:top w:val="single" w:color="auto" w:sz="4" w:space="0"/>
              <w:left w:val="single" w:color="auto" w:sz="4" w:space="0"/>
              <w:bottom w:val="single" w:color="auto" w:sz="4" w:space="0"/>
              <w:right w:val="single" w:color="auto" w:sz="4" w:space="0"/>
            </w:tcBorders>
            <w:vAlign w:val="center"/>
          </w:tcPr>
          <w:p w14:paraId="1DB1E376">
            <w:pPr>
              <w:spacing w:line="400" w:lineRule="exact"/>
              <w:rPr>
                <w:rFonts w:ascii="Times New Roman" w:hAnsi="Times New Roman" w:eastAsia="仿宋" w:cs="仿宋"/>
                <w:szCs w:val="21"/>
              </w:rPr>
            </w:pPr>
            <w:r>
              <w:rPr>
                <w:rFonts w:hint="eastAsia" w:ascii="Times New Roman" w:hAnsi="Times New Roman" w:eastAsia="仿宋" w:cs="仿宋"/>
                <w:szCs w:val="21"/>
              </w:rPr>
              <w:t>总学时：</w:t>
            </w:r>
          </w:p>
        </w:tc>
        <w:tc>
          <w:tcPr>
            <w:tcW w:w="2160" w:type="dxa"/>
            <w:gridSpan w:val="3"/>
            <w:tcBorders>
              <w:top w:val="single" w:color="auto" w:sz="4" w:space="0"/>
              <w:left w:val="single" w:color="auto" w:sz="4" w:space="0"/>
              <w:bottom w:val="single" w:color="auto" w:sz="4" w:space="0"/>
              <w:right w:val="single" w:color="auto" w:sz="4" w:space="0"/>
            </w:tcBorders>
            <w:vAlign w:val="center"/>
          </w:tcPr>
          <w:p w14:paraId="4C6FE51B">
            <w:pPr>
              <w:spacing w:line="400" w:lineRule="exact"/>
              <w:rPr>
                <w:rFonts w:ascii="Times New Roman" w:hAnsi="Times New Roman" w:eastAsia="仿宋" w:cs="仿宋"/>
                <w:szCs w:val="21"/>
              </w:rPr>
            </w:pPr>
            <w:r>
              <w:rPr>
                <w:rFonts w:hint="eastAsia" w:ascii="Times New Roman" w:hAnsi="Times New Roman" w:eastAsia="仿宋" w:cs="仿宋"/>
                <w:szCs w:val="21"/>
              </w:rPr>
              <w:t>讲课学时：</w:t>
            </w:r>
          </w:p>
        </w:tc>
        <w:tc>
          <w:tcPr>
            <w:tcW w:w="2160" w:type="dxa"/>
            <w:tcBorders>
              <w:top w:val="single" w:color="auto" w:sz="4" w:space="0"/>
              <w:left w:val="single" w:color="auto" w:sz="4" w:space="0"/>
              <w:bottom w:val="single" w:color="auto" w:sz="4" w:space="0"/>
              <w:right w:val="single" w:color="auto" w:sz="4" w:space="0"/>
            </w:tcBorders>
            <w:vAlign w:val="center"/>
          </w:tcPr>
          <w:p w14:paraId="7BB52255">
            <w:pPr>
              <w:spacing w:line="400" w:lineRule="exact"/>
              <w:rPr>
                <w:rFonts w:ascii="Times New Roman" w:hAnsi="Times New Roman" w:eastAsia="仿宋" w:cs="仿宋"/>
                <w:szCs w:val="21"/>
              </w:rPr>
            </w:pPr>
            <w:r>
              <w:rPr>
                <w:rFonts w:hint="eastAsia" w:ascii="Times New Roman" w:hAnsi="Times New Roman" w:eastAsia="仿宋" w:cs="仿宋"/>
                <w:szCs w:val="21"/>
              </w:rPr>
              <w:t>实验学时：</w:t>
            </w:r>
          </w:p>
        </w:tc>
      </w:tr>
      <w:tr w14:paraId="6EA09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549" w:type="dxa"/>
            <w:vMerge w:val="continue"/>
            <w:tcBorders>
              <w:top w:val="single" w:color="auto" w:sz="4" w:space="0"/>
              <w:left w:val="single" w:color="auto" w:sz="4" w:space="0"/>
              <w:bottom w:val="single" w:color="auto" w:sz="4" w:space="0"/>
              <w:right w:val="single" w:color="auto" w:sz="4" w:space="0"/>
            </w:tcBorders>
            <w:vAlign w:val="center"/>
          </w:tcPr>
          <w:p w14:paraId="7F7E6A4D">
            <w:pPr>
              <w:widowControl/>
              <w:jc w:val="left"/>
              <w:rPr>
                <w:rFonts w:ascii="Times New Roman" w:hAnsi="Times New Roman" w:eastAsia="仿宋" w:cs="仿宋"/>
                <w:b/>
                <w:bCs/>
                <w:szCs w:val="21"/>
              </w:rPr>
            </w:pPr>
          </w:p>
        </w:tc>
        <w:tc>
          <w:tcPr>
            <w:tcW w:w="2799" w:type="dxa"/>
            <w:gridSpan w:val="2"/>
            <w:tcBorders>
              <w:top w:val="single" w:color="auto" w:sz="4" w:space="0"/>
              <w:left w:val="single" w:color="auto" w:sz="4" w:space="0"/>
              <w:bottom w:val="single" w:color="auto" w:sz="4" w:space="0"/>
              <w:right w:val="single" w:color="auto" w:sz="4" w:space="0"/>
            </w:tcBorders>
            <w:vAlign w:val="center"/>
          </w:tcPr>
          <w:p w14:paraId="2FC0FC4B">
            <w:pPr>
              <w:spacing w:line="400" w:lineRule="exact"/>
              <w:rPr>
                <w:rFonts w:ascii="Times New Roman" w:hAnsi="Times New Roman" w:eastAsia="仿宋" w:cs="仿宋"/>
                <w:szCs w:val="21"/>
              </w:rPr>
            </w:pPr>
            <w:r>
              <w:rPr>
                <w:rFonts w:hint="eastAsia" w:ascii="Times New Roman" w:hAnsi="Times New Roman" w:eastAsia="仿宋" w:cs="仿宋"/>
                <w:szCs w:val="21"/>
              </w:rPr>
              <w:t>开课学期：</w:t>
            </w:r>
          </w:p>
        </w:tc>
        <w:tc>
          <w:tcPr>
            <w:tcW w:w="2700" w:type="dxa"/>
            <w:gridSpan w:val="3"/>
            <w:tcBorders>
              <w:top w:val="single" w:color="auto" w:sz="4" w:space="0"/>
              <w:left w:val="single" w:color="auto" w:sz="4" w:space="0"/>
              <w:bottom w:val="single" w:color="auto" w:sz="4" w:space="0"/>
              <w:right w:val="single" w:color="auto" w:sz="4" w:space="0"/>
            </w:tcBorders>
            <w:vAlign w:val="center"/>
          </w:tcPr>
          <w:p w14:paraId="199B8784">
            <w:pPr>
              <w:spacing w:line="400" w:lineRule="exact"/>
              <w:rPr>
                <w:rFonts w:ascii="Times New Roman" w:hAnsi="Times New Roman" w:eastAsia="仿宋" w:cs="仿宋"/>
                <w:szCs w:val="21"/>
              </w:rPr>
            </w:pPr>
            <w:r>
              <w:rPr>
                <w:rFonts w:hint="eastAsia" w:ascii="Times New Roman" w:hAnsi="Times New Roman" w:eastAsia="仿宋" w:cs="仿宋"/>
                <w:szCs w:val="21"/>
              </w:rPr>
              <w:t xml:space="preserve">开课单位：   </w:t>
            </w:r>
          </w:p>
        </w:tc>
        <w:tc>
          <w:tcPr>
            <w:tcW w:w="2700" w:type="dxa"/>
            <w:gridSpan w:val="2"/>
            <w:tcBorders>
              <w:top w:val="single" w:color="auto" w:sz="4" w:space="0"/>
              <w:left w:val="single" w:color="auto" w:sz="4" w:space="0"/>
              <w:bottom w:val="single" w:color="auto" w:sz="4" w:space="0"/>
              <w:right w:val="single" w:color="auto" w:sz="4" w:space="0"/>
            </w:tcBorders>
            <w:vAlign w:val="center"/>
          </w:tcPr>
          <w:p w14:paraId="7EAA8441">
            <w:pPr>
              <w:spacing w:line="400" w:lineRule="exact"/>
              <w:rPr>
                <w:rFonts w:ascii="Times New Roman" w:hAnsi="Times New Roman" w:eastAsia="仿宋" w:cs="仿宋"/>
                <w:szCs w:val="21"/>
              </w:rPr>
            </w:pPr>
            <w:r>
              <w:rPr>
                <w:rFonts w:hint="eastAsia" w:ascii="Times New Roman" w:hAnsi="Times New Roman" w:eastAsia="仿宋" w:cs="仿宋"/>
                <w:szCs w:val="21"/>
              </w:rPr>
              <w:t>课程性质：必修/选修</w:t>
            </w:r>
          </w:p>
        </w:tc>
      </w:tr>
      <w:tr w14:paraId="00A9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7" w:hRule="atLeast"/>
          <w:jc w:val="center"/>
        </w:trPr>
        <w:tc>
          <w:tcPr>
            <w:tcW w:w="8748" w:type="dxa"/>
            <w:gridSpan w:val="8"/>
            <w:tcBorders>
              <w:top w:val="single" w:color="auto" w:sz="4" w:space="0"/>
              <w:left w:val="single" w:color="auto" w:sz="4" w:space="0"/>
              <w:bottom w:val="single" w:color="auto" w:sz="4" w:space="0"/>
              <w:right w:val="single" w:color="auto" w:sz="4" w:space="0"/>
            </w:tcBorders>
            <w:vAlign w:val="center"/>
          </w:tcPr>
          <w:p w14:paraId="230F507D">
            <w:pPr>
              <w:spacing w:line="400" w:lineRule="exact"/>
              <w:rPr>
                <w:rFonts w:ascii="Times New Roman" w:hAnsi="Times New Roman" w:eastAsia="仿宋" w:cs="仿宋"/>
                <w:b/>
                <w:bCs/>
                <w:szCs w:val="21"/>
              </w:rPr>
            </w:pPr>
            <w:r>
              <w:rPr>
                <w:rFonts w:hint="eastAsia" w:ascii="Times New Roman" w:hAnsi="Times New Roman" w:eastAsia="仿宋" w:cs="仿宋"/>
                <w:b/>
                <w:bCs/>
                <w:szCs w:val="21"/>
              </w:rPr>
              <w:t>调整原因：</w:t>
            </w:r>
          </w:p>
          <w:p w14:paraId="1D8F95D1">
            <w:pPr>
              <w:spacing w:line="400" w:lineRule="exact"/>
              <w:rPr>
                <w:rFonts w:ascii="Times New Roman" w:hAnsi="Times New Roman" w:eastAsia="仿宋" w:cs="仿宋"/>
                <w:szCs w:val="21"/>
              </w:rPr>
            </w:pPr>
          </w:p>
          <w:p w14:paraId="28733491">
            <w:pPr>
              <w:spacing w:line="400" w:lineRule="exact"/>
              <w:rPr>
                <w:rFonts w:ascii="Times New Roman" w:hAnsi="Times New Roman" w:eastAsia="仿宋" w:cs="仿宋"/>
                <w:szCs w:val="21"/>
              </w:rPr>
            </w:pPr>
          </w:p>
          <w:p w14:paraId="66B456A5">
            <w:pPr>
              <w:spacing w:line="400" w:lineRule="exact"/>
              <w:rPr>
                <w:rFonts w:ascii="Times New Roman" w:hAnsi="Times New Roman" w:eastAsia="仿宋" w:cs="仿宋"/>
                <w:szCs w:val="21"/>
              </w:rPr>
            </w:pPr>
          </w:p>
          <w:p w14:paraId="2F6CEC15">
            <w:pPr>
              <w:spacing w:line="400" w:lineRule="exact"/>
              <w:ind w:firstLine="3402" w:firstLineChars="1620"/>
              <w:jc w:val="right"/>
              <w:rPr>
                <w:rFonts w:ascii="Times New Roman" w:hAnsi="Times New Roman" w:eastAsia="仿宋" w:cs="仿宋"/>
                <w:szCs w:val="21"/>
              </w:rPr>
            </w:pPr>
            <w:r>
              <w:rPr>
                <w:rFonts w:hint="eastAsia" w:ascii="Times New Roman" w:hAnsi="Times New Roman" w:eastAsia="仿宋" w:cs="仿宋"/>
                <w:szCs w:val="21"/>
              </w:rPr>
              <w:t>专业负责人签字：         年   月   日</w:t>
            </w:r>
          </w:p>
        </w:tc>
      </w:tr>
      <w:tr w14:paraId="635A4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07E91A88">
            <w:pPr>
              <w:spacing w:line="400" w:lineRule="exact"/>
              <w:rPr>
                <w:rFonts w:ascii="Times New Roman" w:hAnsi="Times New Roman" w:eastAsia="仿宋" w:cs="仿宋"/>
                <w:b/>
                <w:bCs/>
                <w:szCs w:val="21"/>
              </w:rPr>
            </w:pPr>
            <w:r>
              <w:rPr>
                <w:rFonts w:hint="eastAsia" w:ascii="Times New Roman" w:hAnsi="Times New Roman" w:eastAsia="仿宋" w:cs="仿宋"/>
                <w:b/>
                <w:bCs/>
                <w:szCs w:val="21"/>
              </w:rPr>
              <w:t>院（部）领导意见：</w:t>
            </w:r>
          </w:p>
          <w:p w14:paraId="14AB8BAE">
            <w:pPr>
              <w:spacing w:line="400" w:lineRule="exact"/>
              <w:rPr>
                <w:rFonts w:ascii="Times New Roman" w:hAnsi="Times New Roman" w:eastAsia="仿宋" w:cs="仿宋"/>
                <w:szCs w:val="21"/>
              </w:rPr>
            </w:pPr>
          </w:p>
          <w:p w14:paraId="141A6100">
            <w:pPr>
              <w:spacing w:line="400" w:lineRule="exact"/>
              <w:rPr>
                <w:rFonts w:ascii="Times New Roman" w:hAnsi="Times New Roman" w:eastAsia="仿宋" w:cs="仿宋"/>
                <w:szCs w:val="21"/>
              </w:rPr>
            </w:pPr>
            <w:r>
              <w:rPr>
                <w:rFonts w:hint="eastAsia" w:ascii="Times New Roman" w:hAnsi="Times New Roman" w:eastAsia="仿宋" w:cs="仿宋"/>
                <w:szCs w:val="21"/>
              </w:rPr>
              <w:t xml:space="preserve">                                       </w:t>
            </w:r>
          </w:p>
          <w:p w14:paraId="53080378">
            <w:pPr>
              <w:spacing w:line="400" w:lineRule="exact"/>
              <w:ind w:firstLine="1680" w:firstLineChars="800"/>
              <w:jc w:val="right"/>
              <w:rPr>
                <w:rFonts w:ascii="Times New Roman" w:hAnsi="Times New Roman" w:eastAsia="仿宋" w:cs="仿宋"/>
                <w:szCs w:val="21"/>
              </w:rPr>
            </w:pPr>
            <w:r>
              <w:rPr>
                <w:rFonts w:hint="eastAsia" w:ascii="Times New Roman" w:hAnsi="Times New Roman" w:eastAsia="仿宋" w:cs="仿宋"/>
                <w:szCs w:val="21"/>
              </w:rPr>
              <w:t xml:space="preserve"> 主管院长签字（单位盖章）：                      年   月   日</w:t>
            </w:r>
          </w:p>
          <w:p w14:paraId="7579F935">
            <w:pPr>
              <w:spacing w:line="400" w:lineRule="exact"/>
              <w:ind w:firstLine="1260" w:firstLineChars="600"/>
              <w:jc w:val="right"/>
              <w:rPr>
                <w:rFonts w:ascii="Times New Roman" w:hAnsi="Times New Roman" w:eastAsia="仿宋" w:cs="仿宋"/>
                <w:szCs w:val="21"/>
              </w:rPr>
            </w:pPr>
            <w:r>
              <w:rPr>
                <w:rFonts w:hint="eastAsia" w:ascii="Times New Roman" w:hAnsi="Times New Roman" w:eastAsia="仿宋" w:cs="仿宋"/>
                <w:szCs w:val="21"/>
              </w:rPr>
              <w:t>授课学院主管院长签字（单位盖章）：                  年   月   日</w:t>
            </w:r>
          </w:p>
        </w:tc>
      </w:tr>
      <w:tr w14:paraId="46B3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19D2399A">
            <w:pPr>
              <w:spacing w:line="400" w:lineRule="exact"/>
              <w:rPr>
                <w:rFonts w:ascii="Times New Roman" w:hAnsi="Times New Roman" w:eastAsia="仿宋" w:cs="仿宋"/>
                <w:szCs w:val="21"/>
              </w:rPr>
            </w:pPr>
            <w:r>
              <w:rPr>
                <w:rFonts w:hint="eastAsia" w:ascii="Times New Roman" w:hAnsi="Times New Roman" w:eastAsia="仿宋" w:cs="仿宋"/>
                <w:b/>
                <w:bCs/>
                <w:szCs w:val="21"/>
              </w:rPr>
              <w:t>教务处审核意见：</w:t>
            </w:r>
          </w:p>
          <w:p w14:paraId="30F88723">
            <w:pPr>
              <w:spacing w:line="400" w:lineRule="exact"/>
              <w:rPr>
                <w:rFonts w:ascii="Times New Roman" w:hAnsi="Times New Roman" w:eastAsia="仿宋" w:cs="仿宋"/>
                <w:szCs w:val="21"/>
              </w:rPr>
            </w:pPr>
          </w:p>
          <w:p w14:paraId="49651A6A">
            <w:pPr>
              <w:tabs>
                <w:tab w:val="left" w:pos="3240"/>
              </w:tabs>
              <w:spacing w:line="400" w:lineRule="exact"/>
              <w:jc w:val="right"/>
              <w:rPr>
                <w:rFonts w:ascii="Times New Roman" w:hAnsi="Times New Roman" w:eastAsia="仿宋" w:cs="仿宋"/>
                <w:szCs w:val="21"/>
              </w:rPr>
            </w:pPr>
            <w:r>
              <w:rPr>
                <w:rFonts w:hint="eastAsia" w:ascii="Times New Roman" w:hAnsi="Times New Roman" w:eastAsia="仿宋" w:cs="仿宋"/>
                <w:szCs w:val="21"/>
              </w:rPr>
              <w:tab/>
            </w:r>
            <w:r>
              <w:rPr>
                <w:rFonts w:hint="eastAsia" w:ascii="Times New Roman" w:hAnsi="Times New Roman" w:eastAsia="仿宋" w:cs="仿宋"/>
                <w:szCs w:val="21"/>
              </w:rPr>
              <w:t>签字（教务处盖章）：                  年   月   日</w:t>
            </w:r>
          </w:p>
        </w:tc>
      </w:tr>
      <w:tr w14:paraId="4DE24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8748" w:type="dxa"/>
            <w:gridSpan w:val="8"/>
            <w:tcBorders>
              <w:top w:val="single" w:color="auto" w:sz="4" w:space="0"/>
              <w:left w:val="single" w:color="auto" w:sz="4" w:space="0"/>
              <w:bottom w:val="single" w:color="auto" w:sz="4" w:space="0"/>
              <w:right w:val="single" w:color="auto" w:sz="4" w:space="0"/>
            </w:tcBorders>
          </w:tcPr>
          <w:p w14:paraId="60E0D6B4">
            <w:pPr>
              <w:spacing w:line="400" w:lineRule="exact"/>
              <w:rPr>
                <w:rFonts w:ascii="Times New Roman" w:hAnsi="Times New Roman" w:eastAsia="仿宋" w:cs="仿宋"/>
                <w:b/>
                <w:bCs/>
                <w:szCs w:val="21"/>
              </w:rPr>
            </w:pPr>
            <w:r>
              <w:rPr>
                <w:rFonts w:hint="eastAsia" w:ascii="Times New Roman" w:hAnsi="Times New Roman" w:eastAsia="仿宋" w:cs="仿宋"/>
                <w:b/>
                <w:bCs/>
                <w:szCs w:val="21"/>
              </w:rPr>
              <w:t>学校审批意见：</w:t>
            </w:r>
          </w:p>
          <w:p w14:paraId="2C99A4A3">
            <w:pPr>
              <w:spacing w:line="400" w:lineRule="exact"/>
              <w:rPr>
                <w:rFonts w:ascii="Times New Roman" w:hAnsi="Times New Roman" w:eastAsia="仿宋" w:cs="仿宋"/>
                <w:b/>
                <w:bCs/>
                <w:szCs w:val="21"/>
              </w:rPr>
            </w:pPr>
          </w:p>
          <w:p w14:paraId="1D4DD49D">
            <w:pPr>
              <w:spacing w:line="400" w:lineRule="exact"/>
              <w:jc w:val="right"/>
              <w:rPr>
                <w:rFonts w:ascii="Times New Roman" w:hAnsi="Times New Roman" w:eastAsia="仿宋" w:cs="仿宋"/>
                <w:szCs w:val="21"/>
              </w:rPr>
            </w:pPr>
            <w:r>
              <w:rPr>
                <w:rFonts w:hint="eastAsia" w:ascii="Times New Roman" w:hAnsi="Times New Roman" w:eastAsia="仿宋" w:cs="仿宋"/>
                <w:b/>
                <w:bCs/>
                <w:szCs w:val="21"/>
              </w:rPr>
              <w:t xml:space="preserve"> </w:t>
            </w:r>
            <w:r>
              <w:rPr>
                <w:rFonts w:hint="eastAsia" w:ascii="Times New Roman" w:hAnsi="Times New Roman" w:eastAsia="仿宋" w:cs="仿宋"/>
                <w:szCs w:val="21"/>
              </w:rPr>
              <w:t>教学指导委员会主任签字：                  年   月   日</w:t>
            </w:r>
          </w:p>
        </w:tc>
      </w:tr>
    </w:tbl>
    <w:p w14:paraId="7C794E44">
      <w:pPr>
        <w:spacing w:line="400" w:lineRule="exact"/>
        <w:rPr>
          <w:rFonts w:ascii="Times New Roman" w:hAnsi="Times New Roman" w:eastAsia="楷体" w:cs="楷体"/>
        </w:rPr>
      </w:pPr>
      <w:r>
        <w:rPr>
          <w:rFonts w:hint="eastAsia" w:ascii="Times New Roman" w:hAnsi="Times New Roman" w:eastAsia="楷体" w:cs="楷体"/>
        </w:rPr>
        <w:t>填表须知：</w:t>
      </w:r>
    </w:p>
    <w:p w14:paraId="54BC816F">
      <w:pPr>
        <w:ind w:firstLine="420" w:firstLineChars="200"/>
        <w:jc w:val="left"/>
        <w:rPr>
          <w:rFonts w:ascii="Times New Roman" w:hAnsi="Times New Roman" w:eastAsia="楷体_GB2312"/>
        </w:rPr>
      </w:pPr>
      <w:r>
        <w:rPr>
          <w:rFonts w:hint="eastAsia" w:ascii="Times New Roman" w:hAnsi="Times New Roman" w:eastAsia="楷体_GB2312"/>
        </w:rPr>
        <w:t>1.每学期期中，核对下学期应开课程时如需变更培养方案，应填写本表一式二份报教务审批;教学任务一旦下达，则不允许变更；</w:t>
      </w:r>
    </w:p>
    <w:p w14:paraId="5EBE6D8B">
      <w:pPr>
        <w:ind w:firstLine="420" w:firstLineChars="200"/>
        <w:jc w:val="left"/>
        <w:rPr>
          <w:rFonts w:ascii="Times New Roman" w:hAnsi="Times New Roman" w:eastAsia="楷体_GB2312"/>
        </w:rPr>
      </w:pPr>
      <w:r>
        <w:rPr>
          <w:rFonts w:hint="eastAsia" w:ascii="Times New Roman" w:hAnsi="Times New Roman" w:eastAsia="楷体_GB2312"/>
        </w:rPr>
        <w:t>2.新开课程须附课程教学大纲；</w:t>
      </w:r>
    </w:p>
    <w:p w14:paraId="4A7D4EC1">
      <w:pPr>
        <w:ind w:firstLine="420" w:firstLineChars="200"/>
        <w:jc w:val="left"/>
        <w:rPr>
          <w:rFonts w:ascii="Times New Roman" w:hAnsi="Times New Roman" w:eastAsia="楷体_GB2312"/>
        </w:rPr>
      </w:pPr>
      <w:r>
        <w:rPr>
          <w:rFonts w:hint="eastAsia" w:ascii="Times New Roman" w:hAnsi="Times New Roman" w:eastAsia="楷体_GB2312"/>
        </w:rPr>
        <w:t>3.编号规则：学年学期+学院序号+顺序号(001-999),例如：（2018-2019-1）-01- 001；</w:t>
      </w:r>
    </w:p>
    <w:p w14:paraId="4C10183F">
      <w:pPr>
        <w:ind w:firstLine="420" w:firstLineChars="200"/>
        <w:jc w:val="left"/>
      </w:pPr>
      <w:r>
        <w:rPr>
          <w:rFonts w:hint="eastAsia" w:ascii="Times New Roman" w:hAnsi="Times New Roman" w:eastAsia="楷体_GB2312"/>
        </w:rPr>
        <w:t>4.此表适用于学生所在单位和开课单位，涉及到跨学院开课的情况请部门之间商定，经学校认定后执行。</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E3C0A8-679E-45FB-A2E6-BE34EFD1570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29349AE-0C27-49FA-B6D7-5C69DBC4DE40}"/>
  </w:font>
  <w:font w:name="Arial">
    <w:panose1 w:val="020B0604020202020204"/>
    <w:charset w:val="00"/>
    <w:family w:val="swiss"/>
    <w:pitch w:val="default"/>
    <w:sig w:usb0="E0002EFF" w:usb1="C000785B" w:usb2="00000009" w:usb3="00000000" w:csb0="400001FF" w:csb1="FFFF0000"/>
  </w:font>
  <w:font w:name="方正小标宋简体">
    <w:panose1 w:val="03000509000000000000"/>
    <w:charset w:val="86"/>
    <w:family w:val="script"/>
    <w:pitch w:val="default"/>
    <w:sig w:usb0="00000001" w:usb1="080E0000" w:usb2="00000000" w:usb3="00000000" w:csb0="00040000" w:csb1="00000000"/>
    <w:embedRegular r:id="rId3" w:fontKey="{7F66B0C7-53AA-49AC-ABD2-A6FA5050BE90}"/>
  </w:font>
  <w:font w:name="仿宋_GB2312">
    <w:panose1 w:val="02010609030101010101"/>
    <w:charset w:val="86"/>
    <w:family w:val="auto"/>
    <w:pitch w:val="default"/>
    <w:sig w:usb0="00000001" w:usb1="080E0000" w:usb2="00000000" w:usb3="00000000" w:csb0="00040000" w:csb1="00000000"/>
    <w:embedRegular r:id="rId4" w:fontKey="{81DF1DF8-ED93-479D-A470-9BBBFEF9CAA3}"/>
  </w:font>
  <w:font w:name="仿宋">
    <w:panose1 w:val="02010609060101010101"/>
    <w:charset w:val="86"/>
    <w:family w:val="modern"/>
    <w:pitch w:val="default"/>
    <w:sig w:usb0="800002BF" w:usb1="38CF7CFA" w:usb2="00000016" w:usb3="00000000" w:csb0="00040001" w:csb1="00000000"/>
    <w:embedRegular r:id="rId5" w:fontKey="{1ED4DC41-850F-418C-95D7-4534E72D036D}"/>
  </w:font>
  <w:font w:name="Wingdings 2">
    <w:panose1 w:val="05020102010507070707"/>
    <w:charset w:val="02"/>
    <w:family w:val="roman"/>
    <w:pitch w:val="default"/>
    <w:sig w:usb0="00000000" w:usb1="00000000" w:usb2="00000000" w:usb3="00000000" w:csb0="80000000" w:csb1="00000000"/>
    <w:embedRegular r:id="rId6" w:fontKey="{766AF659-3118-423B-AE72-661FE27EE729}"/>
  </w:font>
  <w:font w:name="楷体">
    <w:panose1 w:val="02010609060101010101"/>
    <w:charset w:val="86"/>
    <w:family w:val="modern"/>
    <w:pitch w:val="default"/>
    <w:sig w:usb0="800002BF" w:usb1="38CF7CFA" w:usb2="00000016" w:usb3="00000000" w:csb0="00040001" w:csb1="00000000"/>
    <w:embedRegular r:id="rId7" w:fontKey="{AE7ACBB5-D89B-4BD9-A370-64E90794CE5E}"/>
  </w:font>
  <w:font w:name="楷体_GB2312">
    <w:panose1 w:val="02010609030101010101"/>
    <w:charset w:val="86"/>
    <w:family w:val="modern"/>
    <w:pitch w:val="default"/>
    <w:sig w:usb0="00000001" w:usb1="080E0000" w:usb2="00000000" w:usb3="00000000" w:csb0="00040000" w:csb1="00000000"/>
    <w:embedRegular r:id="rId8" w:fontKey="{24F518C7-0C78-4A0E-808F-AABAEB803D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A48F8">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E8E3DD">
                          <w:pPr>
                            <w:pStyle w:val="10"/>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Kux4zAgAAZ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SE2bMs&#10;bPWD5RE6yuPt6hAgZ1I5itIpge7EA6Yv9anflDjef55T1NO/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QKux4zAgAAZQQAAA4AAAAAAAAAAQAgAAAAHwEAAGRycy9lMm9Eb2MueG1sUEsF&#10;BgAAAAAGAAYAWQEAAMQFAAAAAA==&#10;">
              <v:fill on="f" focussize="0,0"/>
              <v:stroke on="f" weight="0.5pt"/>
              <v:imagedata o:title=""/>
              <o:lock v:ext="edit" aspectratio="f"/>
              <v:textbox inset="0mm,0mm,0mm,0mm" style="mso-fit-shape-to-text:t;">
                <w:txbxContent>
                  <w:p w14:paraId="19E8E3DD">
                    <w:pPr>
                      <w:pStyle w:val="10"/>
                    </w:pPr>
                    <w:r>
                      <w:fldChar w:fldCharType="begin"/>
                    </w:r>
                    <w:r>
                      <w:instrText xml:space="preserve"> PAGE  \* MERGEFORMAT </w:instrText>
                    </w:r>
                    <w:r>
                      <w:fldChar w:fldCharType="separate"/>
                    </w:r>
                    <w:r>
                      <w:t>48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9F3B3"/>
    <w:multiLevelType w:val="multilevel"/>
    <w:tmpl w:val="B5C9F3B3"/>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C8AB260F"/>
    <w:multiLevelType w:val="singleLevel"/>
    <w:tmpl w:val="C8AB260F"/>
    <w:lvl w:ilvl="0" w:tentative="0">
      <w:start w:val="1"/>
      <w:numFmt w:val="decimal"/>
      <w:suff w:val="nothing"/>
      <w:lvlText w:val="（%1）"/>
      <w:lvlJc w:val="left"/>
    </w:lvl>
  </w:abstractNum>
  <w:abstractNum w:abstractNumId="2">
    <w:nsid w:val="10A17530"/>
    <w:multiLevelType w:val="multilevel"/>
    <w:tmpl w:val="10A17530"/>
    <w:lvl w:ilvl="0" w:tentative="0">
      <w:start w:val="1"/>
      <w:numFmt w:val="decimal"/>
      <w:suff w:val="nothing"/>
      <w:lvlText w:val="（%1）"/>
      <w:lvlJc w:val="left"/>
      <w:pPr>
        <w:ind w:left="-2"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35FC8310"/>
    <w:multiLevelType w:val="multilevel"/>
    <w:tmpl w:val="35FC83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799EA72"/>
    <w:multiLevelType w:val="singleLevel"/>
    <w:tmpl w:val="3799EA72"/>
    <w:lvl w:ilvl="0" w:tentative="0">
      <w:start w:val="3"/>
      <w:numFmt w:val="chineseCounting"/>
      <w:suff w:val="nothing"/>
      <w:lvlText w:val="（%1）"/>
      <w:lvlJc w:val="left"/>
      <w:rPr>
        <w:rFonts w:hint="eastAsia"/>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ZTdhOTU5MDJiNGNjNDZhZDljZjBmZTIwNzQyZDMifQ=="/>
  </w:docVars>
  <w:rsids>
    <w:rsidRoot w:val="001C538A"/>
    <w:rsid w:val="00003571"/>
    <w:rsid w:val="000078D3"/>
    <w:rsid w:val="00011FD4"/>
    <w:rsid w:val="000454F3"/>
    <w:rsid w:val="00057167"/>
    <w:rsid w:val="0007493F"/>
    <w:rsid w:val="00075A14"/>
    <w:rsid w:val="000A21F5"/>
    <w:rsid w:val="000B327F"/>
    <w:rsid w:val="000D6A92"/>
    <w:rsid w:val="000F73F1"/>
    <w:rsid w:val="00105F30"/>
    <w:rsid w:val="00106F18"/>
    <w:rsid w:val="00113AEA"/>
    <w:rsid w:val="00123067"/>
    <w:rsid w:val="00155A0F"/>
    <w:rsid w:val="00185493"/>
    <w:rsid w:val="00190C80"/>
    <w:rsid w:val="001C3BD6"/>
    <w:rsid w:val="001C48EC"/>
    <w:rsid w:val="001C538A"/>
    <w:rsid w:val="001D1DD3"/>
    <w:rsid w:val="002329F4"/>
    <w:rsid w:val="002377B6"/>
    <w:rsid w:val="00250F5B"/>
    <w:rsid w:val="0025571B"/>
    <w:rsid w:val="00274CF8"/>
    <w:rsid w:val="002E6D69"/>
    <w:rsid w:val="00303DDB"/>
    <w:rsid w:val="0031601E"/>
    <w:rsid w:val="00317799"/>
    <w:rsid w:val="00325DD8"/>
    <w:rsid w:val="00355FCE"/>
    <w:rsid w:val="0035732C"/>
    <w:rsid w:val="003655E9"/>
    <w:rsid w:val="00392213"/>
    <w:rsid w:val="003C4CCF"/>
    <w:rsid w:val="003D1732"/>
    <w:rsid w:val="003D5037"/>
    <w:rsid w:val="003F6E28"/>
    <w:rsid w:val="004356A8"/>
    <w:rsid w:val="00441BB4"/>
    <w:rsid w:val="004732DC"/>
    <w:rsid w:val="0048092D"/>
    <w:rsid w:val="00485497"/>
    <w:rsid w:val="004A3F90"/>
    <w:rsid w:val="004B1FEC"/>
    <w:rsid w:val="004E4876"/>
    <w:rsid w:val="004F20C3"/>
    <w:rsid w:val="00501943"/>
    <w:rsid w:val="005242FD"/>
    <w:rsid w:val="00532EE0"/>
    <w:rsid w:val="00545A1B"/>
    <w:rsid w:val="005573B1"/>
    <w:rsid w:val="00580299"/>
    <w:rsid w:val="00595702"/>
    <w:rsid w:val="00600600"/>
    <w:rsid w:val="006040B5"/>
    <w:rsid w:val="00610875"/>
    <w:rsid w:val="006170A9"/>
    <w:rsid w:val="00631291"/>
    <w:rsid w:val="006334FF"/>
    <w:rsid w:val="0063772D"/>
    <w:rsid w:val="0066286F"/>
    <w:rsid w:val="0067014B"/>
    <w:rsid w:val="00675D56"/>
    <w:rsid w:val="00676753"/>
    <w:rsid w:val="00680F04"/>
    <w:rsid w:val="006B72EA"/>
    <w:rsid w:val="006B7853"/>
    <w:rsid w:val="006E10FF"/>
    <w:rsid w:val="006E6706"/>
    <w:rsid w:val="006F2F10"/>
    <w:rsid w:val="006F3CF7"/>
    <w:rsid w:val="007020A9"/>
    <w:rsid w:val="00723EB2"/>
    <w:rsid w:val="00727663"/>
    <w:rsid w:val="00734C01"/>
    <w:rsid w:val="00757FAD"/>
    <w:rsid w:val="0077638C"/>
    <w:rsid w:val="00781FB0"/>
    <w:rsid w:val="007B0C93"/>
    <w:rsid w:val="007B174A"/>
    <w:rsid w:val="007B7180"/>
    <w:rsid w:val="007D67D3"/>
    <w:rsid w:val="00821E57"/>
    <w:rsid w:val="008445C6"/>
    <w:rsid w:val="00851B6F"/>
    <w:rsid w:val="0085342D"/>
    <w:rsid w:val="00866A65"/>
    <w:rsid w:val="00867701"/>
    <w:rsid w:val="00876992"/>
    <w:rsid w:val="00876E5B"/>
    <w:rsid w:val="00881106"/>
    <w:rsid w:val="008C37EB"/>
    <w:rsid w:val="008E5837"/>
    <w:rsid w:val="008E66C1"/>
    <w:rsid w:val="008F7A9A"/>
    <w:rsid w:val="00923BD3"/>
    <w:rsid w:val="009444A7"/>
    <w:rsid w:val="00971253"/>
    <w:rsid w:val="009B1613"/>
    <w:rsid w:val="009C75DD"/>
    <w:rsid w:val="009E0A3E"/>
    <w:rsid w:val="009F63D0"/>
    <w:rsid w:val="00A66D1B"/>
    <w:rsid w:val="00A77B72"/>
    <w:rsid w:val="00A87D99"/>
    <w:rsid w:val="00AA51C5"/>
    <w:rsid w:val="00AB58D9"/>
    <w:rsid w:val="00AC2DC1"/>
    <w:rsid w:val="00AC3B7F"/>
    <w:rsid w:val="00AE555E"/>
    <w:rsid w:val="00AF4236"/>
    <w:rsid w:val="00B3600B"/>
    <w:rsid w:val="00B7284F"/>
    <w:rsid w:val="00B8523E"/>
    <w:rsid w:val="00B96E7D"/>
    <w:rsid w:val="00BA00D8"/>
    <w:rsid w:val="00BB0176"/>
    <w:rsid w:val="00BC4A13"/>
    <w:rsid w:val="00BC625E"/>
    <w:rsid w:val="00BE2121"/>
    <w:rsid w:val="00BF5C77"/>
    <w:rsid w:val="00C01DCD"/>
    <w:rsid w:val="00C25880"/>
    <w:rsid w:val="00C413D0"/>
    <w:rsid w:val="00C440C3"/>
    <w:rsid w:val="00C64369"/>
    <w:rsid w:val="00C7356C"/>
    <w:rsid w:val="00C769F2"/>
    <w:rsid w:val="00CB00E5"/>
    <w:rsid w:val="00CC42D0"/>
    <w:rsid w:val="00CD434C"/>
    <w:rsid w:val="00CF6101"/>
    <w:rsid w:val="00D034BC"/>
    <w:rsid w:val="00D0353D"/>
    <w:rsid w:val="00D14334"/>
    <w:rsid w:val="00D179D0"/>
    <w:rsid w:val="00D235DE"/>
    <w:rsid w:val="00D33B4C"/>
    <w:rsid w:val="00D65295"/>
    <w:rsid w:val="00D73266"/>
    <w:rsid w:val="00D81699"/>
    <w:rsid w:val="00DB2CB4"/>
    <w:rsid w:val="00DC122B"/>
    <w:rsid w:val="00DC2F77"/>
    <w:rsid w:val="00DD72C9"/>
    <w:rsid w:val="00DE3972"/>
    <w:rsid w:val="00DF56D7"/>
    <w:rsid w:val="00DF7FC3"/>
    <w:rsid w:val="00E14E19"/>
    <w:rsid w:val="00E62779"/>
    <w:rsid w:val="00E801E8"/>
    <w:rsid w:val="00EC0DA4"/>
    <w:rsid w:val="00F050AC"/>
    <w:rsid w:val="00F17EF7"/>
    <w:rsid w:val="00F62ED7"/>
    <w:rsid w:val="00F65B39"/>
    <w:rsid w:val="00F84084"/>
    <w:rsid w:val="00FA7984"/>
    <w:rsid w:val="00FA7DD9"/>
    <w:rsid w:val="00FB0F85"/>
    <w:rsid w:val="00FB1A28"/>
    <w:rsid w:val="00FE1376"/>
    <w:rsid w:val="01574D30"/>
    <w:rsid w:val="01D4545D"/>
    <w:rsid w:val="024E7C57"/>
    <w:rsid w:val="026F72FD"/>
    <w:rsid w:val="02723524"/>
    <w:rsid w:val="02AD1871"/>
    <w:rsid w:val="05721780"/>
    <w:rsid w:val="05D85790"/>
    <w:rsid w:val="05ED3AF6"/>
    <w:rsid w:val="06C52CB7"/>
    <w:rsid w:val="06D174A7"/>
    <w:rsid w:val="078235DA"/>
    <w:rsid w:val="097E5A66"/>
    <w:rsid w:val="0A4B34C9"/>
    <w:rsid w:val="0A731438"/>
    <w:rsid w:val="0AB245E5"/>
    <w:rsid w:val="0AE14122"/>
    <w:rsid w:val="0C9969FF"/>
    <w:rsid w:val="0D0E11ED"/>
    <w:rsid w:val="0D453D34"/>
    <w:rsid w:val="0DA91536"/>
    <w:rsid w:val="0F113D34"/>
    <w:rsid w:val="0FC24482"/>
    <w:rsid w:val="10E37E55"/>
    <w:rsid w:val="11177A24"/>
    <w:rsid w:val="11F64058"/>
    <w:rsid w:val="138543E7"/>
    <w:rsid w:val="146C0FAF"/>
    <w:rsid w:val="14B52807"/>
    <w:rsid w:val="166069FF"/>
    <w:rsid w:val="16AD3796"/>
    <w:rsid w:val="188A1794"/>
    <w:rsid w:val="18B35CD6"/>
    <w:rsid w:val="18BF2130"/>
    <w:rsid w:val="193205BB"/>
    <w:rsid w:val="1AA81B03"/>
    <w:rsid w:val="1BC577D4"/>
    <w:rsid w:val="1BDB5DD5"/>
    <w:rsid w:val="1C5128D2"/>
    <w:rsid w:val="1D4D1B4A"/>
    <w:rsid w:val="1DD60F66"/>
    <w:rsid w:val="1E327BAC"/>
    <w:rsid w:val="20181C18"/>
    <w:rsid w:val="202C081A"/>
    <w:rsid w:val="20D5637B"/>
    <w:rsid w:val="21431E03"/>
    <w:rsid w:val="21A32365"/>
    <w:rsid w:val="21D21447"/>
    <w:rsid w:val="23E13A4F"/>
    <w:rsid w:val="24CC3685"/>
    <w:rsid w:val="271F2F2B"/>
    <w:rsid w:val="273B6B97"/>
    <w:rsid w:val="2751016E"/>
    <w:rsid w:val="280C53AB"/>
    <w:rsid w:val="292233EE"/>
    <w:rsid w:val="298B4B63"/>
    <w:rsid w:val="2A1852B4"/>
    <w:rsid w:val="2AF43C3D"/>
    <w:rsid w:val="2B2F0BBA"/>
    <w:rsid w:val="2BFC2739"/>
    <w:rsid w:val="2C8132E4"/>
    <w:rsid w:val="2CA7AAEA"/>
    <w:rsid w:val="2CB511F3"/>
    <w:rsid w:val="2CBC2CC9"/>
    <w:rsid w:val="2CE7098C"/>
    <w:rsid w:val="2D7F352C"/>
    <w:rsid w:val="2DB33930"/>
    <w:rsid w:val="2FCD0FDB"/>
    <w:rsid w:val="2FDE173D"/>
    <w:rsid w:val="2FED84D1"/>
    <w:rsid w:val="301639A1"/>
    <w:rsid w:val="30AE7FF9"/>
    <w:rsid w:val="3228775A"/>
    <w:rsid w:val="32AD25E2"/>
    <w:rsid w:val="32BD026D"/>
    <w:rsid w:val="33076B3D"/>
    <w:rsid w:val="33127D77"/>
    <w:rsid w:val="35FFD4E0"/>
    <w:rsid w:val="36850339"/>
    <w:rsid w:val="379E3C61"/>
    <w:rsid w:val="37BB6CF2"/>
    <w:rsid w:val="37FEFCFD"/>
    <w:rsid w:val="386F72D7"/>
    <w:rsid w:val="38D04F99"/>
    <w:rsid w:val="38DD88F2"/>
    <w:rsid w:val="39071960"/>
    <w:rsid w:val="399D23B9"/>
    <w:rsid w:val="3ACB172E"/>
    <w:rsid w:val="3AF91403"/>
    <w:rsid w:val="3CC7241D"/>
    <w:rsid w:val="3D51281E"/>
    <w:rsid w:val="3DC44220"/>
    <w:rsid w:val="3E2A0839"/>
    <w:rsid w:val="3E4F1778"/>
    <w:rsid w:val="3F9D2485"/>
    <w:rsid w:val="3FAF46F6"/>
    <w:rsid w:val="40214D11"/>
    <w:rsid w:val="4030351A"/>
    <w:rsid w:val="41D212FB"/>
    <w:rsid w:val="41EB0D88"/>
    <w:rsid w:val="42BD11EB"/>
    <w:rsid w:val="43C64079"/>
    <w:rsid w:val="44EE71C4"/>
    <w:rsid w:val="45107968"/>
    <w:rsid w:val="45161501"/>
    <w:rsid w:val="453872A6"/>
    <w:rsid w:val="46885064"/>
    <w:rsid w:val="474541F5"/>
    <w:rsid w:val="49A92F22"/>
    <w:rsid w:val="4A984F54"/>
    <w:rsid w:val="4BDF0DFA"/>
    <w:rsid w:val="4BFF31F6"/>
    <w:rsid w:val="4CB501F8"/>
    <w:rsid w:val="4CB90019"/>
    <w:rsid w:val="4EDD59BA"/>
    <w:rsid w:val="4F473A81"/>
    <w:rsid w:val="4F781E4D"/>
    <w:rsid w:val="4F89081E"/>
    <w:rsid w:val="4FD601FF"/>
    <w:rsid w:val="50257CE3"/>
    <w:rsid w:val="5064564E"/>
    <w:rsid w:val="51BE1C74"/>
    <w:rsid w:val="52B3100D"/>
    <w:rsid w:val="53701F20"/>
    <w:rsid w:val="53AE0CBF"/>
    <w:rsid w:val="53DD8C24"/>
    <w:rsid w:val="54324CFF"/>
    <w:rsid w:val="5495378B"/>
    <w:rsid w:val="56132307"/>
    <w:rsid w:val="56C02EA4"/>
    <w:rsid w:val="587A5F16"/>
    <w:rsid w:val="59872A02"/>
    <w:rsid w:val="5A2F6DBD"/>
    <w:rsid w:val="5C4A1C0B"/>
    <w:rsid w:val="5CB4694A"/>
    <w:rsid w:val="5CBA71CA"/>
    <w:rsid w:val="5D520D2C"/>
    <w:rsid w:val="5DE52763"/>
    <w:rsid w:val="5DFD4487"/>
    <w:rsid w:val="5E0F14DE"/>
    <w:rsid w:val="5EE137D2"/>
    <w:rsid w:val="5EEA25AC"/>
    <w:rsid w:val="5F3B6A53"/>
    <w:rsid w:val="5FC6353D"/>
    <w:rsid w:val="60737012"/>
    <w:rsid w:val="625B2BEE"/>
    <w:rsid w:val="631B36A0"/>
    <w:rsid w:val="64264155"/>
    <w:rsid w:val="651C3631"/>
    <w:rsid w:val="65423070"/>
    <w:rsid w:val="666A7BEF"/>
    <w:rsid w:val="666E5BC1"/>
    <w:rsid w:val="66E31D63"/>
    <w:rsid w:val="676DC737"/>
    <w:rsid w:val="696C260A"/>
    <w:rsid w:val="6B085760"/>
    <w:rsid w:val="6C3A7B2A"/>
    <w:rsid w:val="6D172F87"/>
    <w:rsid w:val="6DB62488"/>
    <w:rsid w:val="6E251B34"/>
    <w:rsid w:val="6EDB3305"/>
    <w:rsid w:val="6F3DB4CE"/>
    <w:rsid w:val="6FB42178"/>
    <w:rsid w:val="6FB7F4F9"/>
    <w:rsid w:val="6FBF6F23"/>
    <w:rsid w:val="700D146B"/>
    <w:rsid w:val="70381498"/>
    <w:rsid w:val="713C0BF3"/>
    <w:rsid w:val="725E3F86"/>
    <w:rsid w:val="729C5A44"/>
    <w:rsid w:val="747C6A7A"/>
    <w:rsid w:val="74CD18E7"/>
    <w:rsid w:val="757500DB"/>
    <w:rsid w:val="757C028F"/>
    <w:rsid w:val="75B42095"/>
    <w:rsid w:val="76085610"/>
    <w:rsid w:val="768D2711"/>
    <w:rsid w:val="777052C7"/>
    <w:rsid w:val="77F74DAD"/>
    <w:rsid w:val="78FF02A8"/>
    <w:rsid w:val="79AE2B48"/>
    <w:rsid w:val="79CD68EE"/>
    <w:rsid w:val="79E73E73"/>
    <w:rsid w:val="7A3D28DE"/>
    <w:rsid w:val="7ADE034A"/>
    <w:rsid w:val="7AF982B8"/>
    <w:rsid w:val="7B3E36DA"/>
    <w:rsid w:val="7B580C7C"/>
    <w:rsid w:val="7BBF2A6D"/>
    <w:rsid w:val="7BFD0AB5"/>
    <w:rsid w:val="7BFF22F4"/>
    <w:rsid w:val="7C3002FE"/>
    <w:rsid w:val="7C3849F3"/>
    <w:rsid w:val="7CE60DA1"/>
    <w:rsid w:val="7D0B76D2"/>
    <w:rsid w:val="7D8031BA"/>
    <w:rsid w:val="7EF7511C"/>
    <w:rsid w:val="7F7363AB"/>
    <w:rsid w:val="7F775E98"/>
    <w:rsid w:val="7F9B4E86"/>
    <w:rsid w:val="96ED77C2"/>
    <w:rsid w:val="9FFFCA6B"/>
    <w:rsid w:val="A79E7CE7"/>
    <w:rsid w:val="A9DF3FAE"/>
    <w:rsid w:val="BD4FEF1E"/>
    <w:rsid w:val="BFF9E895"/>
    <w:rsid w:val="D3FF03D0"/>
    <w:rsid w:val="E8C3572A"/>
    <w:rsid w:val="E9ECAEE5"/>
    <w:rsid w:val="EB97842F"/>
    <w:rsid w:val="EFFBB3FB"/>
    <w:rsid w:val="F1BE6F4E"/>
    <w:rsid w:val="F5CFC211"/>
    <w:rsid w:val="F95D0FE2"/>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4">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5">
    <w:name w:val="heading 3"/>
    <w:basedOn w:val="1"/>
    <w:next w:val="1"/>
    <w:unhideWhenUsed/>
    <w:qFormat/>
    <w:uiPriority w:val="0"/>
    <w:pPr>
      <w:spacing w:before="100" w:beforeAutospacing="1" w:after="100" w:afterAutospacing="1"/>
      <w:jc w:val="left"/>
      <w:outlineLvl w:val="2"/>
    </w:pPr>
    <w:rPr>
      <w:rFonts w:hint="eastAsia" w:ascii="宋体" w:hAnsi="宋体" w:eastAsia="宋体" w:cs="Times New Roman"/>
      <w:b/>
      <w:bCs/>
      <w:kern w:val="0"/>
      <w:sz w:val="27"/>
      <w:szCs w:val="27"/>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正文（缩进）"/>
    <w:basedOn w:val="1"/>
    <w:qFormat/>
    <w:uiPriority w:val="0"/>
    <w:pPr>
      <w:spacing w:before="156" w:after="156"/>
      <w:ind w:firstLine="480" w:firstLineChars="200"/>
    </w:pPr>
  </w:style>
  <w:style w:type="paragraph" w:styleId="6">
    <w:name w:val="annotation text"/>
    <w:basedOn w:val="1"/>
    <w:qFormat/>
    <w:uiPriority w:val="0"/>
    <w:pPr>
      <w:jc w:val="left"/>
    </w:pPr>
  </w:style>
  <w:style w:type="paragraph" w:styleId="7">
    <w:name w:val="Body Text"/>
    <w:basedOn w:val="1"/>
    <w:semiHidden/>
    <w:qFormat/>
    <w:uiPriority w:val="0"/>
    <w:rPr>
      <w:rFonts w:ascii="宋体" w:hAnsi="宋体" w:eastAsia="宋体" w:cs="宋体"/>
      <w:sz w:val="24"/>
      <w:lang w:eastAsia="en-US"/>
    </w:rPr>
  </w:style>
  <w:style w:type="paragraph" w:styleId="8">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9">
    <w:name w:val="Balloon Text"/>
    <w:basedOn w:val="1"/>
    <w:link w:val="20"/>
    <w:qFormat/>
    <w:uiPriority w:val="0"/>
    <w:rPr>
      <w:sz w:val="18"/>
      <w:szCs w:val="18"/>
    </w:r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basedOn w:val="15"/>
    <w:qFormat/>
    <w:uiPriority w:val="0"/>
    <w:rPr>
      <w:b/>
    </w:rPr>
  </w:style>
  <w:style w:type="character" w:customStyle="1" w:styleId="17">
    <w:name w:val="页眉 字符"/>
    <w:basedOn w:val="15"/>
    <w:link w:val="11"/>
    <w:qFormat/>
    <w:uiPriority w:val="0"/>
    <w:rPr>
      <w:rFonts w:asciiTheme="minorHAnsi" w:hAnsiTheme="minorHAnsi" w:eastAsiaTheme="minorEastAsia" w:cstheme="minorBidi"/>
      <w:kern w:val="2"/>
      <w:sz w:val="18"/>
      <w:szCs w:val="18"/>
    </w:rPr>
  </w:style>
  <w:style w:type="character" w:customStyle="1" w:styleId="18">
    <w:name w:val="页脚 字符"/>
    <w:basedOn w:val="15"/>
    <w:link w:val="10"/>
    <w:qFormat/>
    <w:uiPriority w:val="0"/>
    <w:rPr>
      <w:rFonts w:asciiTheme="minorHAnsi" w:hAnsiTheme="minorHAnsi" w:eastAsiaTheme="minorEastAsia" w:cstheme="minorBidi"/>
      <w:kern w:val="2"/>
      <w:sz w:val="18"/>
      <w:szCs w:val="18"/>
    </w:rPr>
  </w:style>
  <w:style w:type="table" w:customStyle="1" w:styleId="19">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0">
    <w:name w:val="批注框文本 字符"/>
    <w:basedOn w:val="15"/>
    <w:link w:val="9"/>
    <w:qFormat/>
    <w:uiPriority w:val="0"/>
    <w:rPr>
      <w:rFonts w:asciiTheme="minorHAnsi" w:hAnsiTheme="minorHAnsi" w:eastAsiaTheme="minorEastAsia" w:cstheme="minorBidi"/>
      <w:kern w:val="2"/>
      <w:sz w:val="18"/>
      <w:szCs w:val="18"/>
    </w:rPr>
  </w:style>
  <w:style w:type="paragraph" w:customStyle="1" w:styleId="21">
    <w:name w:val="Heading2"/>
    <w:basedOn w:val="1"/>
    <w:next w:val="1"/>
    <w:qFormat/>
    <w:uiPriority w:val="99"/>
    <w:pPr>
      <w:ind w:left="110"/>
    </w:pPr>
    <w:rPr>
      <w:rFonts w:ascii="宋体" w:hAnsi="宋体" w:eastAsia="宋体" w:cs="Times New Roman"/>
      <w:sz w:val="62"/>
      <w:szCs w:val="62"/>
    </w:rPr>
  </w:style>
  <w:style w:type="paragraph" w:customStyle="1" w:styleId="22">
    <w:name w:val="Table Text"/>
    <w:basedOn w:val="1"/>
    <w:semiHidden/>
    <w:qFormat/>
    <w:uiPriority w:val="0"/>
    <w:rPr>
      <w:rFonts w:ascii="宋体" w:hAnsi="宋体" w:eastAsia="宋体" w:cs="宋体"/>
      <w:szCs w:val="21"/>
      <w:lang w:eastAsia="en-US"/>
    </w:rPr>
  </w:style>
  <w:style w:type="paragraph" w:customStyle="1" w:styleId="23">
    <w:name w:val="Body text|1"/>
    <w:basedOn w:val="1"/>
    <w:qFormat/>
    <w:uiPriority w:val="0"/>
    <w:pPr>
      <w:spacing w:line="420" w:lineRule="auto"/>
      <w:ind w:firstLine="400"/>
      <w:jc w:val="left"/>
    </w:pPr>
    <w:rPr>
      <w:rFonts w:hint="eastAsia" w:ascii="宋体" w:hAnsi="宋体" w:eastAsia="宋体" w:cs="Times New Roman"/>
      <w:color w:val="000000"/>
      <w:kern w:val="0"/>
      <w:sz w:val="20"/>
      <w:szCs w:val="20"/>
    </w:rPr>
  </w:style>
  <w:style w:type="paragraph" w:customStyle="1" w:styleId="24">
    <w:name w:val="正文格式"/>
    <w:basedOn w:val="1"/>
    <w:qFormat/>
    <w:uiPriority w:val="0"/>
    <w:pPr>
      <w:widowControl/>
      <w:adjustRightInd w:val="0"/>
      <w:snapToGrid w:val="0"/>
      <w:spacing w:line="400" w:lineRule="atLeast"/>
      <w:ind w:firstLine="482"/>
      <w:textAlignment w:val="baseline"/>
    </w:pPr>
    <w:rPr>
      <w:kern w:val="0"/>
      <w:sz w:val="24"/>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57EECB-3143-41BD-B6BC-A647D893C53E}">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53</Pages>
  <Words>16833</Words>
  <Characters>17094</Characters>
  <Lines>363</Lines>
  <Paragraphs>102</Paragraphs>
  <TotalTime>0</TotalTime>
  <ScaleCrop>false</ScaleCrop>
  <LinksUpToDate>false</LinksUpToDate>
  <CharactersWithSpaces>17132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2023-07-03T14:43:00Z</dcterms:created>
  <dc:creator>Lenovo</dc:creator>
  <cp:lastModifiedBy>Faith</cp:lastModifiedBy>
  <cp:lastPrinted>2023-08-31T19:20:00Z</cp:lastPrinted>
  <dcterms:modified xsi:type="dcterms:W3CDTF">2025-09-15T09:28:20Z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E5EF8F41D8ED4BC6B4052F1D9B36AB09_13</vt:lpwstr>
  </property>
  <property fmtid="{D5CDD505-2E9C-101B-9397-08002B2CF9AE}" pid="4" name="KSOTemplateDocerSaveRecord">
    <vt:lpwstr>eyJoZGlkIjoiZmRiZTdhOTU5MDJiNGNjNDZhZDljZjBmZTIwNzQyZDMiLCJ1c2VySWQiOiI3MzcyMTc0NDAifQ==</vt:lpwstr>
  </property>
</Properties>
</file>