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0"/>
        <w:ind w:left="322"/>
        <w:rPr>
          <w:rFonts w:hint="eastAsia" w:ascii="黑体" w:eastAsia="黑体"/>
          <w:sz w:val="32"/>
          <w:szCs w:val="32"/>
        </w:rPr>
      </w:pPr>
      <w:r>
        <w:rPr>
          <w:rFonts w:hint="eastAsia" w:ascii="黑体" w:eastAsia="黑体"/>
          <w:sz w:val="32"/>
          <w:szCs w:val="32"/>
        </w:rPr>
        <w:t>附件 3</w:t>
      </w:r>
    </w:p>
    <w:p>
      <w:pPr>
        <w:pStyle w:val="3"/>
        <w:spacing w:before="6"/>
        <w:rPr>
          <w:rFonts w:ascii="黑体"/>
          <w:sz w:val="42"/>
        </w:rPr>
      </w:pPr>
    </w:p>
    <w:p>
      <w:pPr>
        <w:pStyle w:val="2"/>
        <w:spacing w:before="0" w:line="211" w:lineRule="auto"/>
        <w:ind w:left="836" w:right="849" w:firstLine="451"/>
      </w:pPr>
      <w:r>
        <w:rPr>
          <w:spacing w:val="3"/>
        </w:rPr>
        <w:t>河南省第六届大学生艺术展演活动 高校美育改革创新优秀案例的相关要求</w:t>
      </w:r>
    </w:p>
    <w:p>
      <w:pPr>
        <w:pStyle w:val="3"/>
        <w:spacing w:before="6"/>
        <w:rPr>
          <w:rFonts w:ascii="方正小标宋简体"/>
          <w:sz w:val="38"/>
        </w:rPr>
      </w:pPr>
    </w:p>
    <w:p>
      <w:pPr>
        <w:pStyle w:val="3"/>
        <w:spacing w:line="367" w:lineRule="auto"/>
        <w:ind w:left="322" w:right="188" w:firstLine="562"/>
        <w:rPr>
          <w:rFonts w:hint="eastAsia" w:ascii="仿宋" w:hAnsi="仿宋" w:eastAsia="仿宋" w:cs="仿宋"/>
          <w:sz w:val="32"/>
          <w:szCs w:val="32"/>
        </w:rPr>
      </w:pPr>
      <w:r>
        <w:rPr>
          <w:rFonts w:hint="eastAsia" w:ascii="仿宋" w:hAnsi="仿宋" w:eastAsia="仿宋" w:cs="仿宋"/>
          <w:sz w:val="32"/>
          <w:szCs w:val="32"/>
        </w:rPr>
        <w:t>高校美育改革创新优秀案例是一校、一院系坚持目标导向和问题导向，在美育改革创新实践中所形成的具有引领性、突破性、示范性的做法、举措和经验。</w:t>
      </w:r>
    </w:p>
    <w:p>
      <w:pPr>
        <w:pStyle w:val="3"/>
        <w:spacing w:line="382" w:lineRule="exact"/>
        <w:ind w:left="884"/>
        <w:rPr>
          <w:rFonts w:hint="eastAsia" w:ascii="黑体" w:eastAsia="黑体"/>
          <w:sz w:val="32"/>
          <w:szCs w:val="32"/>
        </w:rPr>
      </w:pPr>
      <w:r>
        <w:rPr>
          <w:rFonts w:hint="eastAsia" w:ascii="黑体" w:eastAsia="黑体"/>
          <w:sz w:val="32"/>
          <w:szCs w:val="32"/>
        </w:rPr>
        <w:t>一、内容</w:t>
      </w:r>
    </w:p>
    <w:p>
      <w:pPr>
        <w:pStyle w:val="3"/>
        <w:spacing w:before="201" w:line="367" w:lineRule="auto"/>
        <w:ind w:left="322" w:right="181" w:firstLine="562"/>
        <w:rPr>
          <w:rFonts w:hint="eastAsia" w:ascii="仿宋" w:hAnsi="仿宋" w:eastAsia="仿宋" w:cs="仿宋"/>
          <w:sz w:val="32"/>
          <w:szCs w:val="32"/>
        </w:rPr>
      </w:pPr>
      <w:r>
        <w:rPr>
          <w:rFonts w:hint="eastAsia" w:ascii="仿宋" w:hAnsi="仿宋" w:eastAsia="仿宋" w:cs="仿宋"/>
          <w:spacing w:val="9"/>
          <w:sz w:val="32"/>
          <w:szCs w:val="32"/>
        </w:rPr>
        <w:t>贯彻落实《国务院办公厅关于全面加强和改进学校美育工作</w:t>
      </w:r>
      <w:r>
        <w:rPr>
          <w:rFonts w:hint="eastAsia" w:ascii="仿宋" w:hAnsi="仿宋" w:eastAsia="仿宋" w:cs="仿宋"/>
          <w:spacing w:val="-7"/>
          <w:sz w:val="32"/>
          <w:szCs w:val="32"/>
        </w:rPr>
        <w:t>的意见》《教育部关于切实加强新时代高等学校美育工作的意见》</w:t>
      </w:r>
      <w:r>
        <w:rPr>
          <w:rFonts w:hint="eastAsia" w:ascii="仿宋" w:hAnsi="仿宋" w:eastAsia="仿宋" w:cs="仿宋"/>
          <w:spacing w:val="3"/>
          <w:sz w:val="32"/>
          <w:szCs w:val="32"/>
        </w:rPr>
        <w:t>要求，重点征集如下几个专题内容的优秀案例。</w:t>
      </w:r>
    </w:p>
    <w:p>
      <w:pPr>
        <w:pStyle w:val="3"/>
        <w:spacing w:line="382" w:lineRule="exact"/>
        <w:ind w:left="884"/>
        <w:rPr>
          <w:rFonts w:hint="eastAsia" w:ascii="仿宋" w:hAnsi="仿宋" w:eastAsia="仿宋" w:cs="仿宋"/>
          <w:sz w:val="32"/>
          <w:szCs w:val="32"/>
        </w:rPr>
      </w:pPr>
      <w:bookmarkStart w:id="0" w:name="bookmark80"/>
      <w:bookmarkEnd w:id="0"/>
      <w:r>
        <w:rPr>
          <w:rFonts w:hint="eastAsia" w:ascii="仿宋" w:hAnsi="仿宋" w:eastAsia="仿宋" w:cs="仿宋"/>
          <w:sz w:val="32"/>
          <w:szCs w:val="32"/>
        </w:rPr>
        <w:t>（一）高校美育教师队伍建设</w:t>
      </w:r>
    </w:p>
    <w:p>
      <w:pPr>
        <w:pStyle w:val="3"/>
        <w:spacing w:before="202"/>
        <w:ind w:left="884"/>
        <w:rPr>
          <w:rFonts w:hint="eastAsia" w:ascii="仿宋" w:hAnsi="仿宋" w:eastAsia="仿宋" w:cs="仿宋"/>
          <w:sz w:val="32"/>
          <w:szCs w:val="32"/>
        </w:rPr>
      </w:pPr>
      <w:bookmarkStart w:id="1" w:name="bookmark81"/>
      <w:bookmarkEnd w:id="1"/>
      <w:r>
        <w:rPr>
          <w:rFonts w:hint="eastAsia" w:ascii="仿宋" w:hAnsi="仿宋" w:eastAsia="仿宋" w:cs="仿宋"/>
          <w:sz w:val="32"/>
          <w:szCs w:val="32"/>
        </w:rPr>
        <w:t>（二）高校公共艺术课程建设与教学改革</w:t>
      </w:r>
    </w:p>
    <w:p>
      <w:pPr>
        <w:pStyle w:val="3"/>
        <w:spacing w:before="206"/>
        <w:ind w:left="884"/>
        <w:rPr>
          <w:rFonts w:hint="eastAsia" w:ascii="仿宋" w:hAnsi="仿宋" w:eastAsia="仿宋" w:cs="仿宋"/>
          <w:sz w:val="32"/>
          <w:szCs w:val="32"/>
        </w:rPr>
      </w:pPr>
      <w:bookmarkStart w:id="2" w:name="bookmark82"/>
      <w:bookmarkEnd w:id="2"/>
      <w:r>
        <w:rPr>
          <w:rFonts w:hint="eastAsia" w:ascii="仿宋" w:hAnsi="仿宋" w:eastAsia="仿宋" w:cs="仿宋"/>
          <w:sz w:val="32"/>
          <w:szCs w:val="32"/>
        </w:rPr>
        <w:t>（三）高校专业艺术人才培养模式改革创新</w:t>
      </w:r>
    </w:p>
    <w:p>
      <w:pPr>
        <w:pStyle w:val="3"/>
        <w:spacing w:before="201"/>
        <w:ind w:left="884"/>
        <w:rPr>
          <w:rFonts w:hint="eastAsia" w:ascii="仿宋" w:hAnsi="仿宋" w:eastAsia="仿宋" w:cs="仿宋"/>
          <w:sz w:val="32"/>
          <w:szCs w:val="32"/>
        </w:rPr>
      </w:pPr>
      <w:bookmarkStart w:id="3" w:name="bookmark83"/>
      <w:bookmarkEnd w:id="3"/>
      <w:r>
        <w:rPr>
          <w:rFonts w:hint="eastAsia" w:ascii="仿宋" w:hAnsi="仿宋" w:eastAsia="仿宋" w:cs="仿宋"/>
          <w:sz w:val="32"/>
          <w:szCs w:val="32"/>
        </w:rPr>
        <w:t>（四）高校艺术师范教育教学改革</w:t>
      </w:r>
    </w:p>
    <w:p>
      <w:pPr>
        <w:pStyle w:val="3"/>
        <w:spacing w:before="202"/>
        <w:ind w:left="884"/>
        <w:rPr>
          <w:rFonts w:hint="eastAsia" w:ascii="仿宋" w:hAnsi="仿宋" w:eastAsia="仿宋" w:cs="仿宋"/>
          <w:sz w:val="32"/>
          <w:szCs w:val="32"/>
        </w:rPr>
      </w:pPr>
      <w:bookmarkStart w:id="4" w:name="bookmark84"/>
      <w:bookmarkEnd w:id="4"/>
      <w:r>
        <w:rPr>
          <w:rFonts w:hint="eastAsia" w:ascii="仿宋" w:hAnsi="仿宋" w:eastAsia="仿宋" w:cs="仿宋"/>
          <w:spacing w:val="9"/>
          <w:sz w:val="32"/>
          <w:szCs w:val="32"/>
        </w:rPr>
        <w:t>（五</w:t>
      </w:r>
      <w:r>
        <w:rPr>
          <w:rFonts w:hint="eastAsia" w:ascii="仿宋" w:hAnsi="仿宋" w:eastAsia="仿宋" w:cs="仿宋"/>
          <w:spacing w:val="4"/>
          <w:sz w:val="32"/>
          <w:szCs w:val="32"/>
        </w:rPr>
        <w:t>）</w:t>
      </w:r>
      <w:r>
        <w:rPr>
          <w:rFonts w:hint="eastAsia" w:ascii="仿宋" w:hAnsi="仿宋" w:eastAsia="仿宋" w:cs="仿宋"/>
          <w:spacing w:val="3"/>
          <w:sz w:val="32"/>
          <w:szCs w:val="32"/>
        </w:rPr>
        <w:t>高校中华优秀传统文化艺术传承创新</w:t>
      </w:r>
    </w:p>
    <w:p>
      <w:pPr>
        <w:pStyle w:val="3"/>
        <w:spacing w:before="206"/>
        <w:ind w:left="884"/>
        <w:rPr>
          <w:rFonts w:hint="eastAsia" w:ascii="仿宋" w:hAnsi="仿宋" w:eastAsia="仿宋" w:cs="仿宋"/>
          <w:sz w:val="32"/>
          <w:szCs w:val="32"/>
        </w:rPr>
      </w:pPr>
      <w:bookmarkStart w:id="5" w:name="bookmark85"/>
      <w:bookmarkEnd w:id="5"/>
      <w:r>
        <w:rPr>
          <w:rFonts w:hint="eastAsia" w:ascii="仿宋" w:hAnsi="仿宋" w:eastAsia="仿宋" w:cs="仿宋"/>
          <w:spacing w:val="9"/>
          <w:sz w:val="32"/>
          <w:szCs w:val="32"/>
        </w:rPr>
        <w:t>（六</w:t>
      </w:r>
      <w:r>
        <w:rPr>
          <w:rFonts w:hint="eastAsia" w:ascii="仿宋" w:hAnsi="仿宋" w:eastAsia="仿宋" w:cs="仿宋"/>
          <w:spacing w:val="4"/>
          <w:sz w:val="32"/>
          <w:szCs w:val="32"/>
        </w:rPr>
        <w:t>）</w:t>
      </w:r>
      <w:r>
        <w:rPr>
          <w:rFonts w:hint="eastAsia" w:ascii="仿宋" w:hAnsi="仿宋" w:eastAsia="仿宋" w:cs="仿宋"/>
          <w:spacing w:val="3"/>
          <w:sz w:val="32"/>
          <w:szCs w:val="32"/>
        </w:rPr>
        <w:t>高校学生艺术社团及实践工作坊建设</w:t>
      </w:r>
    </w:p>
    <w:p>
      <w:pPr>
        <w:pStyle w:val="3"/>
        <w:spacing w:before="201"/>
        <w:ind w:left="884"/>
        <w:rPr>
          <w:rFonts w:hint="eastAsia" w:ascii="仿宋" w:hAnsi="仿宋" w:eastAsia="仿宋" w:cs="仿宋"/>
          <w:sz w:val="32"/>
          <w:szCs w:val="32"/>
        </w:rPr>
      </w:pPr>
      <w:bookmarkStart w:id="6" w:name="bookmark86"/>
      <w:bookmarkEnd w:id="6"/>
      <w:r>
        <w:rPr>
          <w:rFonts w:hint="eastAsia" w:ascii="仿宋" w:hAnsi="仿宋" w:eastAsia="仿宋" w:cs="仿宋"/>
          <w:sz w:val="32"/>
          <w:szCs w:val="32"/>
        </w:rPr>
        <w:t>（七）协同育人机制构建</w:t>
      </w:r>
    </w:p>
    <w:p>
      <w:pPr>
        <w:pStyle w:val="3"/>
        <w:spacing w:before="201"/>
        <w:ind w:left="884"/>
        <w:rPr>
          <w:rFonts w:hint="eastAsia" w:ascii="仿宋" w:hAnsi="仿宋" w:eastAsia="仿宋" w:cs="仿宋"/>
          <w:sz w:val="32"/>
          <w:szCs w:val="32"/>
        </w:rPr>
      </w:pPr>
      <w:bookmarkStart w:id="7" w:name="bookmark87"/>
      <w:bookmarkEnd w:id="7"/>
      <w:r>
        <w:rPr>
          <w:rFonts w:hint="eastAsia" w:ascii="仿宋" w:hAnsi="仿宋" w:eastAsia="仿宋" w:cs="仿宋"/>
          <w:sz w:val="32"/>
          <w:szCs w:val="32"/>
        </w:rPr>
        <w:t>（八）高校校园文化环境育人</w:t>
      </w:r>
    </w:p>
    <w:p>
      <w:pPr>
        <w:pStyle w:val="3"/>
        <w:spacing w:before="202"/>
        <w:ind w:left="884"/>
        <w:rPr>
          <w:rFonts w:hint="eastAsia" w:ascii="仿宋" w:hAnsi="仿宋" w:eastAsia="仿宋" w:cs="仿宋"/>
          <w:sz w:val="32"/>
          <w:szCs w:val="32"/>
        </w:rPr>
      </w:pPr>
      <w:bookmarkStart w:id="8" w:name="bookmark88"/>
      <w:bookmarkEnd w:id="8"/>
      <w:r>
        <w:rPr>
          <w:rFonts w:hint="eastAsia" w:ascii="仿宋" w:hAnsi="仿宋" w:eastAsia="仿宋" w:cs="仿宋"/>
          <w:sz w:val="32"/>
          <w:szCs w:val="32"/>
        </w:rPr>
        <w:t>（九）高校美育服务社会路径及实施</w:t>
      </w:r>
    </w:p>
    <w:p>
      <w:pPr>
        <w:pStyle w:val="3"/>
        <w:spacing w:before="206"/>
        <w:ind w:left="884"/>
        <w:rPr>
          <w:rFonts w:hint="eastAsia" w:ascii="仿宋" w:hAnsi="仿宋" w:eastAsia="仿宋" w:cs="仿宋"/>
          <w:sz w:val="32"/>
          <w:szCs w:val="32"/>
        </w:rPr>
      </w:pPr>
      <w:r>
        <w:rPr>
          <w:rFonts w:hint="eastAsia" w:ascii="仿宋" w:hAnsi="仿宋" w:eastAsia="仿宋" w:cs="仿宋"/>
          <w:sz w:val="32"/>
          <w:szCs w:val="32"/>
        </w:rPr>
        <w:t>（十）高校美育保障机制构建</w:t>
      </w:r>
    </w:p>
    <w:p>
      <w:pPr>
        <w:spacing w:after="0"/>
        <w:rPr>
          <w:rFonts w:hint="eastAsia" w:ascii="仿宋" w:hAnsi="仿宋" w:eastAsia="仿宋" w:cs="仿宋"/>
          <w:sz w:val="32"/>
          <w:szCs w:val="32"/>
        </w:rPr>
        <w:sectPr>
          <w:pgSz w:w="11910" w:h="16840"/>
          <w:pgMar w:top="1580" w:right="1260" w:bottom="1740" w:left="1320" w:header="0" w:footer="1558" w:gutter="0"/>
        </w:sectPr>
      </w:pPr>
    </w:p>
    <w:p>
      <w:pPr>
        <w:pStyle w:val="3"/>
        <w:spacing w:before="3"/>
        <w:rPr>
          <w:rFonts w:hint="eastAsia" w:ascii="仿宋" w:hAnsi="仿宋" w:eastAsia="仿宋" w:cs="仿宋"/>
          <w:sz w:val="32"/>
          <w:szCs w:val="32"/>
        </w:rPr>
      </w:pPr>
    </w:p>
    <w:p>
      <w:pPr>
        <w:pStyle w:val="3"/>
        <w:spacing w:before="60"/>
        <w:ind w:left="884"/>
        <w:rPr>
          <w:rFonts w:hint="eastAsia" w:ascii="仿宋" w:hAnsi="仿宋" w:eastAsia="仿宋" w:cs="仿宋"/>
          <w:sz w:val="32"/>
          <w:szCs w:val="32"/>
        </w:rPr>
      </w:pPr>
      <w:r>
        <w:rPr>
          <w:rFonts w:hint="eastAsia" w:ascii="仿宋" w:hAnsi="仿宋" w:eastAsia="仿宋" w:cs="仿宋"/>
          <w:sz w:val="32"/>
          <w:szCs w:val="32"/>
        </w:rPr>
        <w:t>（十一）高校美育评价体系建设</w:t>
      </w:r>
    </w:p>
    <w:p>
      <w:pPr>
        <w:pStyle w:val="3"/>
        <w:spacing w:before="202"/>
        <w:ind w:left="884"/>
        <w:rPr>
          <w:rFonts w:hint="eastAsia" w:ascii="黑体" w:eastAsia="黑体"/>
          <w:sz w:val="32"/>
          <w:szCs w:val="32"/>
        </w:rPr>
      </w:pPr>
      <w:bookmarkStart w:id="9" w:name="bookmark89"/>
      <w:bookmarkEnd w:id="9"/>
      <w:bookmarkStart w:id="10" w:name="bookmark91"/>
      <w:bookmarkEnd w:id="10"/>
      <w:bookmarkStart w:id="11" w:name="bookmark90"/>
      <w:bookmarkEnd w:id="11"/>
      <w:r>
        <w:rPr>
          <w:rFonts w:hint="eastAsia" w:ascii="黑体" w:eastAsia="黑体"/>
          <w:sz w:val="32"/>
          <w:szCs w:val="32"/>
        </w:rPr>
        <w:t>二、原则</w:t>
      </w:r>
    </w:p>
    <w:p>
      <w:pPr>
        <w:pStyle w:val="3"/>
        <w:spacing w:before="201" w:line="369" w:lineRule="auto"/>
        <w:ind w:left="322" w:right="325" w:firstLine="562"/>
        <w:rPr>
          <w:rFonts w:hint="eastAsia" w:ascii="仿宋" w:hAnsi="仿宋" w:eastAsia="仿宋" w:cs="仿宋"/>
          <w:sz w:val="32"/>
          <w:szCs w:val="32"/>
        </w:rPr>
      </w:pPr>
      <w:bookmarkStart w:id="12" w:name="bookmark92"/>
      <w:bookmarkEnd w:id="12"/>
      <w:r>
        <w:rPr>
          <w:rFonts w:hint="eastAsia" w:ascii="仿宋" w:hAnsi="仿宋" w:eastAsia="仿宋" w:cs="仿宋"/>
          <w:sz w:val="32"/>
          <w:szCs w:val="32"/>
        </w:rPr>
        <w:t>（一）真实性。因地因校制宜、从实际出发，充分体现时代要求和人民需求，禁止虚构、杜撰和抄袭。</w:t>
      </w:r>
    </w:p>
    <w:p>
      <w:pPr>
        <w:pStyle w:val="3"/>
        <w:spacing w:line="364" w:lineRule="auto"/>
        <w:ind w:left="322" w:right="325" w:firstLine="562"/>
        <w:rPr>
          <w:rFonts w:hint="eastAsia" w:ascii="仿宋" w:hAnsi="仿宋" w:eastAsia="仿宋" w:cs="仿宋"/>
          <w:sz w:val="32"/>
          <w:szCs w:val="32"/>
        </w:rPr>
      </w:pPr>
      <w:bookmarkStart w:id="13" w:name="bookmark93"/>
      <w:bookmarkEnd w:id="13"/>
      <w:r>
        <w:rPr>
          <w:rFonts w:hint="eastAsia" w:ascii="仿宋" w:hAnsi="仿宋" w:eastAsia="仿宋" w:cs="仿宋"/>
          <w:sz w:val="32"/>
          <w:szCs w:val="32"/>
        </w:rPr>
        <w:t>（二）创新性。以体制机制创新为突破口，为推进高校美育改革发展进行积极探索，方法上有创新，措施上有亮点。</w:t>
      </w:r>
    </w:p>
    <w:p>
      <w:pPr>
        <w:pStyle w:val="3"/>
        <w:spacing w:line="369" w:lineRule="auto"/>
        <w:ind w:left="322" w:right="325" w:firstLine="562"/>
        <w:rPr>
          <w:rFonts w:hint="eastAsia" w:ascii="仿宋" w:hAnsi="仿宋" w:eastAsia="仿宋" w:cs="仿宋"/>
          <w:sz w:val="32"/>
          <w:szCs w:val="32"/>
        </w:rPr>
      </w:pPr>
      <w:bookmarkStart w:id="14" w:name="bookmark94"/>
      <w:bookmarkEnd w:id="14"/>
      <w:r>
        <w:rPr>
          <w:rFonts w:hint="eastAsia" w:ascii="仿宋" w:hAnsi="仿宋" w:eastAsia="仿宋" w:cs="仿宋"/>
          <w:sz w:val="32"/>
          <w:szCs w:val="32"/>
        </w:rPr>
        <w:t>（三）实效性。对高校美育改革发展具有明显的推进作用， 取得积极、良好的效果，得到广泛关注和认可。</w:t>
      </w:r>
    </w:p>
    <w:p>
      <w:pPr>
        <w:pStyle w:val="3"/>
        <w:spacing w:line="364" w:lineRule="auto"/>
        <w:ind w:left="322" w:right="325" w:firstLine="562"/>
        <w:rPr>
          <w:rFonts w:hint="eastAsia" w:ascii="仿宋" w:hAnsi="仿宋" w:eastAsia="仿宋" w:cs="仿宋"/>
          <w:sz w:val="32"/>
          <w:szCs w:val="32"/>
        </w:rPr>
      </w:pPr>
      <w:r>
        <w:rPr>
          <w:rFonts w:hint="eastAsia" w:ascii="仿宋" w:hAnsi="仿宋" w:eastAsia="仿宋" w:cs="仿宋"/>
          <w:sz w:val="32"/>
          <w:szCs w:val="32"/>
        </w:rPr>
        <w:t>（四）典型性。具有一定的代表性，对其他地区、学校具有借鉴意义和应用价值。</w:t>
      </w:r>
    </w:p>
    <w:p>
      <w:pPr>
        <w:pStyle w:val="3"/>
        <w:ind w:left="884"/>
        <w:rPr>
          <w:rFonts w:hint="eastAsia" w:ascii="黑体" w:eastAsia="黑体"/>
          <w:sz w:val="32"/>
          <w:szCs w:val="32"/>
        </w:rPr>
      </w:pPr>
      <w:r>
        <w:rPr>
          <w:rFonts w:hint="eastAsia" w:ascii="黑体" w:eastAsia="黑体"/>
          <w:sz w:val="32"/>
          <w:szCs w:val="32"/>
        </w:rPr>
        <w:t>三、报送</w:t>
      </w:r>
    </w:p>
    <w:p>
      <w:pPr>
        <w:pStyle w:val="3"/>
        <w:spacing w:line="364" w:lineRule="auto"/>
        <w:ind w:left="322" w:right="325" w:firstLine="562"/>
        <w:rPr>
          <w:rFonts w:hint="eastAsia" w:ascii="楷体" w:hAnsi="楷体" w:eastAsia="楷体" w:cs="楷体"/>
          <w:sz w:val="32"/>
          <w:szCs w:val="32"/>
        </w:rPr>
      </w:pPr>
      <w:bookmarkStart w:id="15" w:name="bookmark100"/>
      <w:bookmarkEnd w:id="15"/>
      <w:bookmarkStart w:id="16" w:name="bookmark99"/>
      <w:bookmarkEnd w:id="16"/>
      <w:r>
        <w:rPr>
          <w:rFonts w:hint="eastAsia" w:ascii="楷体" w:hAnsi="楷体" w:eastAsia="楷体" w:cs="楷体"/>
          <w:sz w:val="32"/>
          <w:szCs w:val="32"/>
        </w:rPr>
        <w:t>（一）内容要求</w:t>
      </w:r>
    </w:p>
    <w:p>
      <w:pPr>
        <w:pStyle w:val="3"/>
        <w:spacing w:line="364" w:lineRule="auto"/>
        <w:ind w:right="325" w:firstLine="640" w:firstLineChars="200"/>
        <w:rPr>
          <w:rFonts w:hint="eastAsia" w:ascii="仿宋" w:hAnsi="仿宋" w:eastAsia="仿宋" w:cs="仿宋"/>
          <w:sz w:val="32"/>
          <w:szCs w:val="32"/>
        </w:rPr>
      </w:pPr>
      <w:r>
        <w:rPr>
          <w:rFonts w:hint="eastAsia" w:ascii="仿宋" w:hAnsi="仿宋" w:eastAsia="仿宋" w:cs="仿宋"/>
          <w:sz w:val="32"/>
          <w:szCs w:val="32"/>
        </w:rPr>
        <w:t>案例一般应包括背景、做法、成效、探讨等要素。应主题突出、层次分明、特色鲜明、资料翔实、语言生动，富有感染力。案例摘要 300 字左右，正文不超过 5000 字。</w:t>
      </w:r>
    </w:p>
    <w:p>
      <w:pPr>
        <w:pStyle w:val="3"/>
        <w:spacing w:line="364" w:lineRule="auto"/>
        <w:ind w:left="322" w:right="325" w:firstLine="562"/>
        <w:rPr>
          <w:rFonts w:hint="eastAsia" w:ascii="楷体" w:hAnsi="楷体" w:eastAsia="楷体" w:cs="楷体"/>
          <w:sz w:val="32"/>
          <w:szCs w:val="32"/>
        </w:rPr>
      </w:pPr>
      <w:bookmarkStart w:id="17" w:name="bookmark103"/>
      <w:bookmarkEnd w:id="17"/>
      <w:bookmarkStart w:id="18" w:name="bookmark102"/>
      <w:bookmarkEnd w:id="18"/>
      <w:bookmarkStart w:id="19" w:name="bookmark101"/>
      <w:bookmarkEnd w:id="19"/>
      <w:bookmarkStart w:id="20" w:name="bookmark104"/>
      <w:bookmarkEnd w:id="20"/>
      <w:r>
        <w:rPr>
          <w:rFonts w:hint="eastAsia" w:ascii="楷体" w:hAnsi="楷体" w:eastAsia="楷体" w:cs="楷体"/>
          <w:sz w:val="32"/>
          <w:szCs w:val="32"/>
        </w:rPr>
        <w:t>（二）格式要求</w:t>
      </w:r>
    </w:p>
    <w:p>
      <w:pPr>
        <w:pStyle w:val="3"/>
        <w:spacing w:line="364" w:lineRule="auto"/>
        <w:ind w:left="322" w:right="325" w:firstLine="562"/>
        <w:rPr>
          <w:rFonts w:hint="eastAsia" w:ascii="仿宋" w:hAnsi="仿宋" w:eastAsia="仿宋" w:cs="仿宋"/>
          <w:sz w:val="32"/>
          <w:szCs w:val="32"/>
        </w:rPr>
      </w:pPr>
      <w:bookmarkStart w:id="21" w:name="bookmark105"/>
      <w:bookmarkEnd w:id="21"/>
      <w:bookmarkStart w:id="22" w:name="bookmark105"/>
      <w:bookmarkEnd w:id="22"/>
      <w:r>
        <w:rPr>
          <w:rFonts w:hint="eastAsia" w:ascii="仿宋" w:hAnsi="仿宋" w:eastAsia="仿宋" w:cs="仿宋"/>
          <w:sz w:val="32"/>
          <w:szCs w:val="32"/>
        </w:rPr>
        <w:t>A4 纸张，上边距</w:t>
      </w:r>
      <w:r>
        <w:rPr>
          <w:rFonts w:hint="eastAsia" w:ascii="仿宋" w:hAnsi="仿宋" w:eastAsia="仿宋" w:cs="仿宋"/>
          <w:sz w:val="32"/>
          <w:szCs w:val="32"/>
          <w:lang w:val="en-US" w:eastAsia="zh-CN"/>
        </w:rPr>
        <w:t>3.8</w:t>
      </w:r>
      <w:r>
        <w:rPr>
          <w:rFonts w:hint="eastAsia" w:ascii="仿宋" w:hAnsi="仿宋" w:eastAsia="仿宋" w:cs="仿宋"/>
          <w:sz w:val="32"/>
          <w:szCs w:val="32"/>
        </w:rPr>
        <w:t>厘米，下边距</w:t>
      </w:r>
      <w:r>
        <w:rPr>
          <w:rFonts w:hint="eastAsia" w:ascii="仿宋" w:hAnsi="仿宋" w:eastAsia="仿宋" w:cs="仿宋"/>
          <w:sz w:val="32"/>
          <w:szCs w:val="32"/>
          <w:lang w:val="en-US" w:eastAsia="zh-CN"/>
        </w:rPr>
        <w:t>3.2</w:t>
      </w:r>
      <w:r>
        <w:rPr>
          <w:rFonts w:hint="eastAsia" w:ascii="仿宋" w:hAnsi="仿宋" w:eastAsia="仿宋" w:cs="仿宋"/>
          <w:sz w:val="32"/>
          <w:szCs w:val="32"/>
        </w:rPr>
        <w:t xml:space="preserve">厘米，左边距 </w:t>
      </w:r>
      <w:bookmarkStart w:id="23" w:name="bookmark106"/>
      <w:bookmarkEnd w:id="23"/>
      <w:r>
        <w:rPr>
          <w:rFonts w:hint="eastAsia" w:ascii="仿宋" w:hAnsi="仿宋" w:eastAsia="仿宋" w:cs="仿宋"/>
          <w:sz w:val="32"/>
          <w:szCs w:val="32"/>
        </w:rPr>
        <w:t>5厘米，右边距</w:t>
      </w:r>
      <w:r>
        <w:rPr>
          <w:rFonts w:hint="eastAsia" w:ascii="仿宋" w:hAnsi="仿宋" w:eastAsia="仿宋" w:cs="仿宋"/>
          <w:sz w:val="32"/>
          <w:szCs w:val="32"/>
          <w:lang w:val="en-US" w:eastAsia="zh-CN"/>
        </w:rPr>
        <w:t>2.5</w:t>
      </w:r>
      <w:r>
        <w:rPr>
          <w:rFonts w:hint="eastAsia" w:ascii="仿宋" w:hAnsi="仿宋" w:eastAsia="仿宋" w:cs="仿宋"/>
          <w:sz w:val="32"/>
          <w:szCs w:val="32"/>
        </w:rPr>
        <w:t>厘米。</w:t>
      </w:r>
    </w:p>
    <w:p>
      <w:pPr>
        <w:pStyle w:val="3"/>
        <w:spacing w:line="364" w:lineRule="auto"/>
        <w:ind w:right="325" w:firstLine="640" w:firstLineChars="200"/>
        <w:rPr>
          <w:rFonts w:hint="eastAsia" w:ascii="仿宋" w:hAnsi="仿宋" w:eastAsia="仿宋" w:cs="仿宋"/>
          <w:sz w:val="32"/>
          <w:szCs w:val="32"/>
        </w:rPr>
      </w:pPr>
      <w:bookmarkStart w:id="24" w:name="bookmark107"/>
      <w:bookmarkEnd w:id="24"/>
      <w:bookmarkStart w:id="25" w:name="bookmark107"/>
      <w:bookmarkEnd w:id="25"/>
      <w:r>
        <w:rPr>
          <w:rFonts w:hint="eastAsia" w:ascii="仿宋" w:hAnsi="仿宋" w:eastAsia="仿宋" w:cs="仿宋"/>
          <w:sz w:val="32"/>
          <w:szCs w:val="32"/>
        </w:rPr>
        <w:t>正文主标题居中排，使用华文中宋二号字。主标题的段后距设为</w:t>
      </w:r>
      <w:r>
        <w:rPr>
          <w:rFonts w:hint="eastAsia" w:ascii="仿宋" w:hAnsi="仿宋" w:eastAsia="仿宋" w:cs="仿宋"/>
          <w:sz w:val="32"/>
          <w:szCs w:val="32"/>
          <w:lang w:val="en-US" w:eastAsia="zh-CN"/>
        </w:rPr>
        <w:t>0.5</w:t>
      </w:r>
      <w:r>
        <w:rPr>
          <w:rFonts w:hint="eastAsia" w:ascii="仿宋" w:hAnsi="仿宋" w:eastAsia="仿宋" w:cs="仿宋"/>
          <w:sz w:val="32"/>
          <w:szCs w:val="32"/>
        </w:rPr>
        <w:t>行。副标题另起一行，使用破折号加宋体小二号字如： “ ******”。</w:t>
      </w:r>
    </w:p>
    <w:p>
      <w:pPr>
        <w:pStyle w:val="3"/>
        <w:spacing w:line="364" w:lineRule="auto"/>
        <w:ind w:right="325" w:firstLine="640" w:firstLineChars="200"/>
        <w:rPr>
          <w:rFonts w:hint="eastAsia" w:ascii="仿宋" w:hAnsi="仿宋" w:eastAsia="仿宋" w:cs="仿宋"/>
          <w:sz w:val="32"/>
          <w:szCs w:val="32"/>
        </w:rPr>
      </w:pPr>
      <w:bookmarkStart w:id="26" w:name="bookmark108"/>
      <w:bookmarkEnd w:id="26"/>
      <w:bookmarkStart w:id="27" w:name="bookmark108"/>
      <w:bookmarkEnd w:id="27"/>
      <w:r>
        <w:rPr>
          <w:rFonts w:hint="eastAsia" w:ascii="仿宋" w:hAnsi="仿宋" w:eastAsia="仿宋" w:cs="仿宋"/>
          <w:sz w:val="32"/>
          <w:szCs w:val="32"/>
        </w:rPr>
        <w:t>正文一级标题使用黑体三号字，序号使用汉字加顿号 如：“一、”。二级标题使用楷体三号字，序号使用汉字加括 号如： “（一）”。三级标题使用仿宋三号字，序号使用三号 Times New Roman 字体的阿拉伯数字加点如：“1.”。</w:t>
      </w:r>
    </w:p>
    <w:p>
      <w:pPr>
        <w:pStyle w:val="3"/>
        <w:spacing w:line="364" w:lineRule="auto"/>
        <w:ind w:right="325" w:firstLine="640" w:firstLineChars="200"/>
        <w:rPr>
          <w:rFonts w:hint="eastAsia" w:ascii="仿宋" w:hAnsi="仿宋" w:eastAsia="仿宋" w:cs="仿宋"/>
          <w:sz w:val="32"/>
          <w:szCs w:val="32"/>
        </w:rPr>
      </w:pPr>
      <w:bookmarkStart w:id="28" w:name="bookmark109"/>
      <w:bookmarkEnd w:id="28"/>
      <w:bookmarkStart w:id="29" w:name="bookmark109"/>
      <w:bookmarkEnd w:id="29"/>
      <w:r>
        <w:rPr>
          <w:rFonts w:hint="eastAsia" w:ascii="仿宋" w:hAnsi="仿宋" w:eastAsia="仿宋" w:cs="仿宋"/>
          <w:sz w:val="32"/>
          <w:szCs w:val="32"/>
        </w:rPr>
        <w:t>正文使用仿宋三号字，首行缩进两字符，行距设置为 1.5倍。正文须配 5-10 幅插图，图片下方附 50 字以内说明， 须注明拍摄者。</w:t>
      </w:r>
    </w:p>
    <w:p>
      <w:pPr>
        <w:pStyle w:val="3"/>
        <w:spacing w:line="364" w:lineRule="auto"/>
        <w:ind w:left="322" w:right="325" w:firstLine="562"/>
        <w:rPr>
          <w:rFonts w:hint="eastAsia" w:ascii="楷体" w:hAnsi="楷体" w:eastAsia="楷体" w:cs="楷体"/>
          <w:sz w:val="32"/>
          <w:szCs w:val="32"/>
        </w:rPr>
      </w:pPr>
      <w:bookmarkStart w:id="30" w:name="bookmark111"/>
      <w:bookmarkEnd w:id="30"/>
      <w:bookmarkStart w:id="31" w:name="bookmark112"/>
      <w:bookmarkEnd w:id="31"/>
      <w:bookmarkStart w:id="32" w:name="bookmark110"/>
      <w:bookmarkEnd w:id="32"/>
      <w:bookmarkStart w:id="33" w:name="bookmark113"/>
      <w:bookmarkEnd w:id="33"/>
      <w:r>
        <w:rPr>
          <w:rFonts w:hint="eastAsia" w:ascii="楷体" w:hAnsi="楷体" w:eastAsia="楷体" w:cs="楷体"/>
          <w:sz w:val="32"/>
          <w:szCs w:val="32"/>
        </w:rPr>
        <w:t>（三）报送方式</w:t>
      </w:r>
    </w:p>
    <w:p>
      <w:pPr>
        <w:pStyle w:val="3"/>
        <w:spacing w:line="364" w:lineRule="auto"/>
        <w:ind w:right="325" w:firstLine="640" w:firstLineChars="200"/>
        <w:rPr>
          <w:rFonts w:hint="eastAsia" w:ascii="仿宋" w:hAnsi="仿宋" w:eastAsia="仿宋" w:cs="仿宋"/>
          <w:sz w:val="29"/>
        </w:rPr>
      </w:pPr>
      <w:r>
        <w:rPr>
          <w:rFonts w:hint="eastAsia" w:ascii="仿宋" w:hAnsi="仿宋" w:eastAsia="仿宋" w:cs="仿宋"/>
          <w:sz w:val="32"/>
          <w:szCs w:val="32"/>
        </w:rPr>
        <w:t>各校要按照规定数量推荐优秀案例报送省级展演活动组委会。报送优秀案例时须附加盖公章的《河南省第六届大学生艺术展演活动高校美育改革创新优秀案例申报书》</w:t>
      </w:r>
      <w:bookmarkStart w:id="34" w:name="_GoBack"/>
      <w:bookmarkEnd w:id="34"/>
      <w:r>
        <w:rPr>
          <w:rFonts w:hint="eastAsia" w:ascii="仿宋" w:hAnsi="仿宋" w:eastAsia="仿宋" w:cs="仿宋"/>
          <w:sz w:val="32"/>
          <w:szCs w:val="32"/>
        </w:rPr>
        <w:t>。全省展演活动组委会不接受个人直接报送。</w:t>
      </w:r>
    </w:p>
    <w:p>
      <w:pPr>
        <w:pStyle w:val="3"/>
        <w:spacing w:line="380" w:lineRule="exact"/>
        <w:ind w:left="1028"/>
        <w:rPr>
          <w:rFonts w:hint="eastAsia" w:ascii="黑体" w:eastAsia="黑体"/>
          <w:sz w:val="32"/>
          <w:szCs w:val="32"/>
        </w:rPr>
      </w:pPr>
      <w:r>
        <w:rPr>
          <w:rFonts w:hint="eastAsia" w:ascii="黑体" w:eastAsia="黑体"/>
          <w:sz w:val="32"/>
          <w:szCs w:val="32"/>
        </w:rPr>
        <w:t>四、评选</w:t>
      </w:r>
    </w:p>
    <w:p>
      <w:pPr>
        <w:pStyle w:val="3"/>
        <w:spacing w:before="202" w:line="364" w:lineRule="auto"/>
        <w:ind w:right="250" w:firstLine="640" w:firstLineChars="200"/>
      </w:pPr>
      <w:r>
        <w:rPr>
          <w:rFonts w:hint="eastAsia" w:ascii="仿宋" w:hAnsi="仿宋" w:eastAsia="仿宋" w:cs="仿宋"/>
          <w:sz w:val="32"/>
          <w:szCs w:val="32"/>
        </w:rPr>
        <w:t>省级展演活动组委会组织专家对各校报送的案例评选出一、二、三等奖。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9456B"/>
    <w:rsid w:val="02791746"/>
    <w:rsid w:val="2C694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81"/>
      <w:ind w:left="164" w:right="338"/>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0"/>
      <w:szCs w:val="30"/>
      <w:lang w:val="zh-CN" w:eastAsia="zh-CN" w:bidi="zh-CN"/>
    </w:rPr>
  </w:style>
  <w:style w:type="paragraph" w:styleId="6">
    <w:name w:val="List Paragraph"/>
    <w:basedOn w:val="1"/>
    <w:qFormat/>
    <w:uiPriority w:val="1"/>
    <w:pPr>
      <w:ind w:left="102" w:firstLine="706"/>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2020-10-30T07:48:00Z</dcterms:created>
  <dc:creator>深海与你</dc:creator>
  <cp:lastModifiedBy>深海与你</cp:lastModifiedBy>
  <dcterms:modified xsi:type="dcterms:W3CDTF">2020-10-30T08:17:53Z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