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480" w:lineRule="auto"/>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w:t>
      </w:r>
      <w:bookmarkStart w:id="0" w:name="_GoBack"/>
      <w:r>
        <w:rPr>
          <w:rFonts w:hint="eastAsia" w:ascii="仿宋" w:hAnsi="仿宋" w:eastAsia="仿宋" w:cs="仿宋"/>
          <w:b/>
          <w:bCs/>
          <w:sz w:val="44"/>
          <w:szCs w:val="44"/>
          <w:lang w:val="en-US" w:eastAsia="zh-CN"/>
        </w:rPr>
        <w:t>双足机器人竞步</w:t>
      </w:r>
      <w:bookmarkEnd w:id="0"/>
      <w:r>
        <w:rPr>
          <w:rFonts w:hint="eastAsia" w:ascii="仿宋" w:hAnsi="仿宋" w:eastAsia="仿宋" w:cs="仿宋"/>
          <w:b/>
          <w:bCs/>
          <w:sz w:val="44"/>
          <w:szCs w:val="44"/>
          <w:lang w:val="en-US" w:eastAsia="zh-CN"/>
        </w:rPr>
        <w:t>》比赛内容及评分标准</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480" w:lineRule="auto"/>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before="157" w:beforeLines="50" w:after="157" w:afterLines="50"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比赛</w:t>
      </w:r>
      <w:r>
        <w:rPr>
          <w:rFonts w:hint="eastAsia" w:ascii="仿宋" w:hAnsi="仿宋" w:eastAsia="仿宋" w:cs="仿宋"/>
          <w:b/>
          <w:bCs/>
          <w:sz w:val="30"/>
          <w:szCs w:val="30"/>
          <w:lang w:val="en-US" w:eastAsia="zh-CN"/>
        </w:rPr>
        <w:t>内</w:t>
      </w:r>
      <w:r>
        <w:rPr>
          <w:rFonts w:hint="eastAsia" w:ascii="仿宋" w:hAnsi="仿宋" w:eastAsia="仿宋" w:cs="仿宋"/>
          <w:b/>
          <w:bCs/>
          <w:sz w:val="30"/>
          <w:szCs w:val="30"/>
        </w:rPr>
        <w:t>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在竞步比赛场地上，小型双足机器人（窄足/交叉足），以双足步行方式移动，从起跑线出发，通过一个长方形比赛区域，完成比赛规则要求的动作，快速走过终点线。 </w:t>
      </w:r>
    </w:p>
    <w:p>
      <w:pPr>
        <w:keepNext w:val="0"/>
        <w:keepLines w:val="0"/>
        <w:pageBreakBefore w:val="0"/>
        <w:widowControl/>
        <w:suppressLineNumbers w:val="0"/>
        <w:kinsoku/>
        <w:wordWrap/>
        <w:overflowPunct/>
        <w:topLinePunct w:val="0"/>
        <w:autoSpaceDE w:val="0"/>
        <w:autoSpaceDN w:val="0"/>
        <w:bidi w:val="0"/>
        <w:adjustRightInd/>
        <w:snapToGrid/>
        <w:spacing w:before="157" w:beforeLines="50" w:after="157" w:afterLines="50" w:line="360" w:lineRule="auto"/>
        <w:jc w:val="left"/>
        <w:textAlignment w:val="auto"/>
        <w:rPr>
          <w:rFonts w:hint="eastAsia" w:ascii="方正仿宋_GB2312" w:hAnsi="方正仿宋_GB2312" w:eastAsia="方正仿宋_GB2312" w:cs="方正仿宋_GB2312"/>
          <w:b/>
          <w:bCs w:val="0"/>
          <w:color w:val="000000"/>
          <w:kern w:val="0"/>
          <w:sz w:val="28"/>
          <w:szCs w:val="28"/>
          <w:lang w:val="en-US" w:eastAsia="zh-CN" w:bidi="ar"/>
        </w:rPr>
      </w:pPr>
      <w:r>
        <w:rPr>
          <w:rFonts w:hint="eastAsia" w:ascii="方正仿宋_GB2312" w:hAnsi="方正仿宋_GB2312" w:eastAsia="方正仿宋_GB2312" w:cs="方正仿宋_GB2312"/>
          <w:b/>
          <w:bCs w:val="0"/>
          <w:color w:val="000000"/>
          <w:kern w:val="0"/>
          <w:sz w:val="28"/>
          <w:szCs w:val="28"/>
          <w:lang w:val="en-US" w:eastAsia="zh-CN" w:bidi="ar"/>
        </w:rPr>
        <w:t>1.竞步比赛场地要求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场地图纸</w:t>
            </w:r>
          </w:p>
        </w:tc>
        <w:tc>
          <w:tcPr>
            <w:tcW w:w="7156" w:type="dxa"/>
            <w:noWrap w:val="0"/>
            <w:vAlign w:val="top"/>
          </w:tcPr>
          <w:p>
            <w:pPr>
              <w:keepNext w:val="0"/>
              <w:keepLines w:val="0"/>
              <w:widowControl/>
              <w:suppressLineNumbers w:val="0"/>
              <w:jc w:val="center"/>
            </w:pPr>
            <w:r>
              <w:drawing>
                <wp:inline distT="0" distB="0" distL="114300" distR="114300">
                  <wp:extent cx="4286885" cy="1007745"/>
                  <wp:effectExtent l="0" t="0" r="18415"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286885" cy="1007745"/>
                          </a:xfrm>
                          <a:prstGeom prst="rect">
                            <a:avLst/>
                          </a:prstGeom>
                          <a:noFill/>
                          <a:ln>
                            <a:noFill/>
                          </a:ln>
                        </pic:spPr>
                      </pic:pic>
                    </a:graphicData>
                  </a:graphic>
                </wp:inline>
              </w:drawing>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 xml:space="preserve">图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场地图纸（</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1000mm</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场地说明</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比赛区为长方形，尺寸为 </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1000mm</w:t>
            </w:r>
            <w:r>
              <w:rPr>
                <w:rFonts w:hint="eastAsia" w:ascii="宋体" w:hAnsi="宋体" w:eastAsia="宋体" w:cs="宋体"/>
                <w:color w:val="000000"/>
                <w:kern w:val="0"/>
                <w:sz w:val="21"/>
                <w:szCs w:val="21"/>
                <w:lang w:val="en-US" w:eastAsia="zh-CN" w:bidi="ar"/>
              </w:rPr>
              <w:t xml:space="preserve">。由边线、起跑线、终点线和出发区构成，详见场地图纸。 </w:t>
            </w:r>
          </w:p>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在起跑线的前端（场地外侧）设置一个出发区，出发区为长方形，尺寸为</w:t>
            </w:r>
            <w:r>
              <w:rPr>
                <w:rFonts w:hint="default" w:ascii="TimesNewRomanPSMT" w:hAnsi="TimesNewRomanPSMT" w:eastAsia="TimesNewRomanPSMT" w:cs="TimesNewRomanPSMT"/>
                <w:color w:val="000000"/>
                <w:kern w:val="0"/>
                <w:sz w:val="21"/>
                <w:szCs w:val="21"/>
                <w:lang w:val="en-US" w:eastAsia="zh-CN" w:bidi="ar"/>
              </w:rPr>
              <w:t>220mm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400mm</w:t>
            </w:r>
            <w:r>
              <w:rPr>
                <w:rFonts w:hint="eastAsia" w:ascii="宋体" w:hAnsi="宋体" w:eastAsia="宋体" w:cs="宋体"/>
                <w:color w:val="000000"/>
                <w:kern w:val="0"/>
                <w:sz w:val="21"/>
                <w:szCs w:val="21"/>
                <w:lang w:val="en-US" w:eastAsia="zh-CN" w:bidi="ar"/>
              </w:rPr>
              <w:t>。出发区的一个长边与起跑线重叠，且相对于起跑线的长度方向居中放置。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比赛场地 </w:t>
            </w:r>
          </w:p>
        </w:tc>
        <w:tc>
          <w:tcPr>
            <w:tcW w:w="715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将竞步比赛场地图纸平铺在比赛场馆的室内地面上，其地面的材质以比赛场馆的室内地面为准。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场地材质</w:t>
            </w:r>
          </w:p>
        </w:tc>
        <w:tc>
          <w:tcPr>
            <w:tcW w:w="7156" w:type="dxa"/>
            <w:noWrap w:val="0"/>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．图纸制作：竞步比赛场地图采用亚光 </w:t>
            </w:r>
            <w:r>
              <w:rPr>
                <w:rFonts w:hint="default" w:ascii="TimesNewRomanPSMT" w:hAnsi="TimesNewRomanPSMT" w:eastAsia="TimesNewRomanPSMT" w:cs="TimesNewRomanPSMT"/>
                <w:color w:val="000000"/>
                <w:kern w:val="0"/>
                <w:sz w:val="21"/>
                <w:szCs w:val="21"/>
                <w:lang w:val="en-US" w:eastAsia="zh-CN" w:bidi="ar"/>
              </w:rPr>
              <w:t xml:space="preserve">PVC </w:t>
            </w:r>
            <w:r>
              <w:rPr>
                <w:rFonts w:hint="eastAsia" w:ascii="宋体" w:hAnsi="宋体" w:eastAsia="宋体" w:cs="宋体"/>
                <w:color w:val="000000"/>
                <w:kern w:val="0"/>
                <w:sz w:val="21"/>
                <w:szCs w:val="21"/>
                <w:lang w:val="en-US" w:eastAsia="zh-CN" w:bidi="ar"/>
              </w:rPr>
              <w:t>膜纸，可将下载好的图纸电子档（</w:t>
            </w:r>
            <w:r>
              <w:rPr>
                <w:rFonts w:hint="default" w:ascii="TimesNewRomanPSMT" w:hAnsi="TimesNewRomanPSMT" w:eastAsia="TimesNewRomanPSMT" w:cs="TimesNewRomanPSMT"/>
                <w:color w:val="000000"/>
                <w:kern w:val="0"/>
                <w:sz w:val="21"/>
                <w:szCs w:val="21"/>
                <w:lang w:val="en-US" w:eastAsia="zh-CN" w:bidi="ar"/>
              </w:rPr>
              <w:t xml:space="preserve">CAD </w:t>
            </w:r>
            <w:r>
              <w:rPr>
                <w:rFonts w:hint="eastAsia" w:ascii="宋体" w:hAnsi="宋体" w:eastAsia="宋体" w:cs="宋体"/>
                <w:color w:val="000000"/>
                <w:kern w:val="0"/>
                <w:sz w:val="21"/>
                <w:szCs w:val="21"/>
                <w:lang w:val="en-US" w:eastAsia="zh-CN" w:bidi="ar"/>
              </w:rPr>
              <w:t>文件）送至打印店，由打印店通过计算机彩色喷绘完成图纸制作（无需对图纸的尺寸及颜色等做更改，直接制作即可）</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2.场地制作 </w:t>
            </w:r>
            <w:r>
              <w:rPr>
                <w:rFonts w:hint="default" w:ascii="TimesNewRomanPSMT" w:hAnsi="TimesNewRomanPSMT" w:eastAsia="TimesNewRomanPSMT" w:cs="TimesNewRomanPSMT"/>
                <w:color w:val="000000"/>
                <w:kern w:val="0"/>
                <w:sz w:val="21"/>
                <w:szCs w:val="21"/>
                <w:lang w:val="en-US" w:eastAsia="zh-CN" w:bidi="ar"/>
              </w:rPr>
              <w:t xml:space="preserve">AutoCAD </w:t>
            </w:r>
            <w:r>
              <w:rPr>
                <w:rFonts w:hint="eastAsia" w:ascii="宋体" w:hAnsi="宋体" w:eastAsia="宋体" w:cs="宋体"/>
                <w:color w:val="000000"/>
                <w:kern w:val="0"/>
                <w:sz w:val="21"/>
                <w:szCs w:val="21"/>
                <w:lang w:val="en-US" w:eastAsia="zh-CN" w:bidi="ar"/>
              </w:rPr>
              <w:t>图纸咨询千志科，18539190819。</w:t>
            </w:r>
          </w:p>
        </w:tc>
      </w:tr>
    </w:tbl>
    <w:p>
      <w:pPr>
        <w:keepNext w:val="0"/>
        <w:keepLines w:val="0"/>
        <w:pageBreakBefore w:val="0"/>
        <w:widowControl/>
        <w:suppressLineNumbers w:val="0"/>
        <w:kinsoku/>
        <w:wordWrap/>
        <w:overflowPunct/>
        <w:topLinePunct w:val="0"/>
        <w:autoSpaceDE w:val="0"/>
        <w:autoSpaceDN w:val="0"/>
        <w:bidi w:val="0"/>
        <w:adjustRightInd/>
        <w:snapToGrid/>
        <w:spacing w:before="157" w:beforeLines="50" w:after="157" w:afterLines="50" w:line="360" w:lineRule="auto"/>
        <w:jc w:val="left"/>
        <w:textAlignment w:val="auto"/>
        <w:rPr>
          <w:rFonts w:hint="eastAsia" w:ascii="方正仿宋_GB2312" w:hAnsi="方正仿宋_GB2312" w:eastAsia="方正仿宋_GB2312" w:cs="方正仿宋_GB2312"/>
          <w:b/>
          <w:bCs w:val="0"/>
          <w:color w:val="000000"/>
          <w:kern w:val="0"/>
          <w:sz w:val="28"/>
          <w:szCs w:val="28"/>
          <w:lang w:val="en-US" w:eastAsia="zh-CN" w:bidi="ar"/>
        </w:rPr>
      </w:pPr>
      <w:r>
        <w:rPr>
          <w:rFonts w:hint="eastAsia" w:ascii="方正仿宋_GB2312" w:hAnsi="方正仿宋_GB2312" w:eastAsia="方正仿宋_GB2312" w:cs="方正仿宋_GB2312"/>
          <w:b/>
          <w:bCs w:val="0"/>
          <w:color w:val="000000"/>
          <w:kern w:val="0"/>
          <w:sz w:val="28"/>
          <w:szCs w:val="28"/>
          <w:lang w:val="en-US" w:eastAsia="zh-CN" w:bidi="ar"/>
        </w:rPr>
        <w:t xml:space="preserve">2.双足机器人竞步赛规则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机器人结构与制作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机器人结构</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．只有双足结构，要求以双足直立行走方式移动；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．机器人区分正面和背面，要求以箭头指向标识出机器人的正面。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机器人规格</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机器人整体尺寸不超过（长）250mm×（宽）200mm×（高）300mm。规定机器人前进方向为其宽度方向，机器人正面往前、立正姿势站立（如下图所示）时，正对机器人看去，左右为长度方向，前后为宽度方向，上下为高度方向；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．机器人头部尺寸不超过（长）250mm×（宽）120mm。规定机器人正面往前、立正姿势站立（如下图所示）时，正视机器人头部看去，左右为长度方向，前后为宽度方向；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．机器人单足尺寸不超过（长）150mm ×（宽）200mm。规定机器人正面往前、立正姿势站立（如下图所示）时，正视机器人单足看去，左右为长度方向，前后为宽度方向；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．机器人整体重量不超过２Kg。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机器人制作</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．机器人使用不多于 </w:t>
            </w:r>
            <w:r>
              <w:rPr>
                <w:rFonts w:hint="default" w:ascii="TimesNewRomanPSMT" w:hAnsi="TimesNewRomanPSMT" w:eastAsia="TimesNewRomanPSMT" w:cs="TimesNewRomanPSMT"/>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个舵机和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个舵控板制作完成，要求自主式脱线控制；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．机器人各个关节之间的连接件是刚性体，不允许使用弹性连接件； </w:t>
            </w:r>
          </w:p>
          <w:p>
            <w:pPr>
              <w:keepNext w:val="0"/>
              <w:keepLines w:val="0"/>
              <w:widowControl/>
              <w:suppressLineNumbers w:val="0"/>
              <w:jc w:val="left"/>
              <w:rPr>
                <w:rFonts w:hint="default"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．参赛机器人可以是参赛队自主设计和手工制作的机器人，也可以是参赛队购买套件组装调试的机器人。即允许这两种情况的机器人同场比赛。类型可以是窄足机器人，也可以是交叉足机器人。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default"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窄足机器人样例图</w:t>
            </w:r>
          </w:p>
        </w:tc>
        <w:tc>
          <w:tcPr>
            <w:tcW w:w="7156" w:type="dxa"/>
            <w:noWrap w:val="0"/>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1．窄足机器人的足部结构、关节构造，如下图所示。机器人由与脚底板相邻的舵机控制机器人的重心左右移动来实现前进，与脚底板相连的舵机允许选择平放或立放在脚底板上（图 2 中机器人选择的是舵机平放在脚底板上的情况），舵机的扭力输出轴与前进方向平行。</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drawing>
                <wp:inline distT="0" distB="0" distL="114300" distR="114300">
                  <wp:extent cx="3722370" cy="1804035"/>
                  <wp:effectExtent l="0" t="0" r="1143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722370" cy="1804035"/>
                          </a:xfrm>
                          <a:prstGeom prst="rect">
                            <a:avLst/>
                          </a:prstGeom>
                          <a:noFill/>
                          <a:ln>
                            <a:noFill/>
                          </a:ln>
                        </pic:spPr>
                      </pic:pic>
                    </a:graphicData>
                  </a:graphic>
                </wp:inline>
              </w:drawing>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图 </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窄足机器人样例图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交叉足机器人样例图</w:t>
            </w:r>
          </w:p>
        </w:tc>
        <w:tc>
          <w:tcPr>
            <w:tcW w:w="7156"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 交叉足机器人的足部结构、关节构造，如下图所示。机器人由与脚底板上部的舵机控制机器人关节的前后摆动来实现前进，与脚底板相连的舵机允许选择平放或立放在脚底板上（图 3 中机器人选择的是舵机平放在脚底板上的情况），舵机的扭力输出轴与前进方向垂直。 </w:t>
            </w:r>
          </w:p>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drawing>
                <wp:inline distT="0" distB="0" distL="114300" distR="114300">
                  <wp:extent cx="3605530" cy="1881505"/>
                  <wp:effectExtent l="0" t="0" r="13970"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605530" cy="1881505"/>
                          </a:xfrm>
                          <a:prstGeom prst="rect">
                            <a:avLst/>
                          </a:prstGeom>
                          <a:noFill/>
                          <a:ln>
                            <a:noFill/>
                          </a:ln>
                        </pic:spPr>
                      </pic:pic>
                    </a:graphicData>
                  </a:graphic>
                </wp:inline>
              </w:drawing>
            </w:r>
          </w:p>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 xml:space="preserve">图 </w:t>
            </w: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交叉足机器人样例图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禁止事项</w:t>
            </w:r>
          </w:p>
        </w:tc>
        <w:tc>
          <w:tcPr>
            <w:tcW w:w="7156"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1．禁止使用传感器以帮助机器人导航；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2．禁止使用弹性连接件以便于助力行走；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3．比赛时，禁止使用蓝牙模块等无线通讯控制机器人，一旦发现，取消其参赛资格。</w:t>
            </w:r>
          </w:p>
        </w:tc>
      </w:tr>
    </w:tbl>
    <w:p/>
    <w:p>
      <w:pPr>
        <w:keepNext w:val="0"/>
        <w:keepLines w:val="0"/>
        <w:widowControl/>
        <w:suppressLineNumbers w:val="0"/>
        <w:jc w:val="left"/>
        <w:rPr>
          <w:rFonts w:hint="eastAsia" w:ascii="方正仿宋_GB2312" w:hAnsi="方正仿宋_GB2312" w:eastAsia="方正仿宋_GB2312" w:cs="方正仿宋_GB2312"/>
          <w:b/>
          <w:bCs w:val="0"/>
          <w:color w:val="000000"/>
          <w:kern w:val="0"/>
          <w:sz w:val="28"/>
          <w:szCs w:val="28"/>
          <w:lang w:val="en-US" w:eastAsia="zh-CN" w:bidi="ar"/>
        </w:rPr>
      </w:pPr>
      <w:r>
        <w:rPr>
          <w:rFonts w:hint="eastAsia" w:ascii="宋体" w:hAnsi="宋体" w:eastAsia="宋体" w:cs="宋体"/>
          <w:color w:val="000000"/>
          <w:kern w:val="0"/>
          <w:sz w:val="21"/>
          <w:szCs w:val="21"/>
          <w:lang w:val="en-US" w:eastAsia="zh-CN" w:bidi="ar"/>
        </w:rPr>
        <w:t xml:space="preserve"> </w:t>
      </w:r>
      <w:r>
        <w:rPr>
          <w:rFonts w:hint="eastAsia" w:ascii="方正仿宋_GB2312" w:hAnsi="方正仿宋_GB2312" w:eastAsia="方正仿宋_GB2312" w:cs="方正仿宋_GB2312"/>
          <w:b/>
          <w:bCs w:val="0"/>
          <w:color w:val="000000"/>
          <w:kern w:val="0"/>
          <w:sz w:val="28"/>
          <w:szCs w:val="28"/>
          <w:lang w:val="en-US" w:eastAsia="zh-CN" w:bidi="ar"/>
        </w:rPr>
        <w:t xml:space="preserve">3.机器人数量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．每支参赛队使用 </w:t>
      </w:r>
      <w:r>
        <w:rPr>
          <w:rFonts w:hint="default"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个机器人参加比赛。比赛前，各个参赛队需要对机器人进行登记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并粘贴标识。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．同一个机器人只能代表一支队伍参加比赛。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．违背比赛规则的机器人，取消上场资格。 </w:t>
      </w:r>
    </w:p>
    <w:p>
      <w:pPr>
        <w:keepNext w:val="0"/>
        <w:keepLines w:val="0"/>
        <w:pageBreakBefore w:val="0"/>
        <w:widowControl/>
        <w:suppressLineNumbers w:val="0"/>
        <w:kinsoku/>
        <w:wordWrap/>
        <w:overflowPunct/>
        <w:topLinePunct w:val="0"/>
        <w:autoSpaceDE w:val="0"/>
        <w:autoSpaceDN w:val="0"/>
        <w:bidi w:val="0"/>
        <w:adjustRightInd/>
        <w:snapToGrid/>
        <w:spacing w:before="157" w:beforeLines="50" w:after="157" w:afterLines="50" w:line="360" w:lineRule="auto"/>
        <w:jc w:val="left"/>
        <w:textAlignment w:val="auto"/>
        <w:rPr>
          <w:rFonts w:hint="eastAsia" w:ascii="方正仿宋_GB2312" w:hAnsi="方正仿宋_GB2312" w:eastAsia="方正仿宋_GB2312" w:cs="方正仿宋_GB2312"/>
          <w:b/>
          <w:bCs w:val="0"/>
          <w:color w:val="000000"/>
          <w:kern w:val="0"/>
          <w:sz w:val="28"/>
          <w:szCs w:val="28"/>
          <w:lang w:val="en-US" w:eastAsia="zh-CN" w:bidi="ar"/>
        </w:rPr>
      </w:pPr>
      <w:r>
        <w:rPr>
          <w:rFonts w:hint="eastAsia" w:ascii="方正仿宋_GB2312" w:hAnsi="方正仿宋_GB2312" w:eastAsia="方正仿宋_GB2312" w:cs="方正仿宋_GB2312"/>
          <w:b/>
          <w:bCs w:val="0"/>
          <w:color w:val="000000"/>
          <w:kern w:val="0"/>
          <w:sz w:val="28"/>
          <w:szCs w:val="28"/>
          <w:lang w:val="en-US" w:eastAsia="zh-CN" w:bidi="ar"/>
        </w:rPr>
        <w:t xml:space="preserve">4.比赛进程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1．比赛过程：参赛队以报名注册顺序决定比赛出场顺序。赛制采用一轮比赛、一次上场机会。对于第一轮比赛后没有成绩（对单电机竞步赛、窄足赛和交叉足赛，指的是行走距离为 </w:t>
      </w:r>
      <w:r>
        <w:rPr>
          <w:rFonts w:hint="default"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；对体操赛，指的是得分为 </w:t>
      </w:r>
      <w:r>
        <w:rPr>
          <w:rFonts w:hint="default"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）的参赛队，才能进行第二轮比赛（第二轮只有一次上场机会）。当一轮比赛全部完成后，将没有成绩的队伍集中起来，按原来比赛顺序依次比赛。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比赛成绩排序（单电机竞步赛、窄足赛和交叉足赛）：完成赛程的参赛队以比赛时间由小到大依次排序。随后，没有完成赛程的参赛队以机器人走过的路程由大到小排序，当路程相等时以对应的比赛时间由小到大排序。若出现最终成绩一样的参赛队，则这些参赛队加赛一场。最后是参加第二轮比赛的参赛队按上述规定排序（仅限第一轮比赛后没有成绩的参赛队）。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after="157" w:afterLines="50" w:line="560" w:lineRule="exact"/>
        <w:ind w:right="0" w:rightChars="0"/>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比赛计分标准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比赛时间</w:t>
            </w:r>
          </w:p>
        </w:tc>
        <w:tc>
          <w:tcPr>
            <w:tcW w:w="715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．规定比赛时间≤</w:t>
            </w:r>
            <w:r>
              <w:rPr>
                <w:rFonts w:hint="default" w:ascii="TimesNewRomanPSMT" w:hAnsi="TimesNewRomanPSMT" w:eastAsia="TimesNewRomanPSMT" w:cs="TimesNewRomanPSMT"/>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动作次序</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．机器人双足前端紧贴起跑线</w:t>
            </w:r>
            <w:r>
              <w:rPr>
                <w:rFonts w:hint="eastAsia" w:ascii="宋体" w:hAnsi="宋体" w:eastAsia="宋体" w:cs="宋体"/>
                <w:b/>
                <w:color w:val="000000"/>
                <w:kern w:val="0"/>
                <w:sz w:val="21"/>
                <w:szCs w:val="21"/>
                <w:lang w:val="en-US" w:eastAsia="zh-CN" w:bidi="ar"/>
              </w:rPr>
              <w:t>（双足前端整个面与起跑线平行，且双足不能压线）</w:t>
            </w:r>
            <w:r>
              <w:rPr>
                <w:rFonts w:hint="eastAsia" w:ascii="宋体" w:hAnsi="宋体" w:eastAsia="宋体" w:cs="宋体"/>
                <w:color w:val="000000"/>
                <w:kern w:val="0"/>
                <w:sz w:val="21"/>
                <w:szCs w:val="21"/>
                <w:lang w:val="en-US" w:eastAsia="zh-CN" w:bidi="ar"/>
              </w:rPr>
              <w:t xml:space="preserve">立正姿势站立在出发区内，等待裁判发令同时计时开始，参赛队员启动机器人开始比赛。即在满足机器人双足前端紧贴起跑线的条件下机器人只能在出发区 </w:t>
            </w:r>
            <w:r>
              <w:rPr>
                <w:rFonts w:hint="default" w:ascii="TimesNewRomanPSMT" w:hAnsi="TimesNewRomanPSMT" w:eastAsia="TimesNewRomanPSMT" w:cs="TimesNewRomanPSMT"/>
                <w:color w:val="000000"/>
                <w:kern w:val="0"/>
                <w:sz w:val="21"/>
                <w:szCs w:val="21"/>
                <w:lang w:val="en-US" w:eastAsia="zh-CN" w:bidi="ar"/>
              </w:rPr>
              <w:t xml:space="preserve">400mm </w:t>
            </w:r>
            <w:r>
              <w:rPr>
                <w:rFonts w:hint="eastAsia" w:ascii="宋体" w:hAnsi="宋体" w:eastAsia="宋体" w:cs="宋体"/>
                <w:color w:val="000000"/>
                <w:kern w:val="0"/>
                <w:sz w:val="21"/>
                <w:szCs w:val="21"/>
                <w:lang w:val="en-US" w:eastAsia="zh-CN" w:bidi="ar"/>
              </w:rPr>
              <w:t xml:space="preserve">的小范围内做有限的调整。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eastAsia" w:ascii="宋体" w:hAnsi="宋体" w:eastAsia="宋体" w:cs="宋体"/>
                <w:b/>
                <w:color w:val="000000"/>
                <w:kern w:val="0"/>
                <w:sz w:val="21"/>
                <w:szCs w:val="21"/>
                <w:lang w:val="en-US" w:eastAsia="zh-CN" w:bidi="ar"/>
              </w:rPr>
              <w:t xml:space="preserve">机器人先向前走 6 步、立正；接着卧下、向前翻跟斗 6 次、起立；再向前走 6 步、立正；然后卧下（身体向后）、向后翻跟斗 6 次、起立；最后快速向前走向终点线。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．不按指定动作次序运行的机器人，将按次序偏差的次数扣分。每出现一次次序偏差，就在记录的比赛时间上附加 10 秒。 </w:t>
            </w:r>
          </w:p>
          <w:p>
            <w:pPr>
              <w:keepNext w:val="0"/>
              <w:keepLines w:val="0"/>
              <w:widowControl/>
              <w:suppressLineNumbers w:val="0"/>
              <w:jc w:val="left"/>
            </w:pPr>
            <w:r>
              <w:rPr>
                <w:rFonts w:hint="eastAsia" w:ascii="宋体" w:hAnsi="宋体" w:eastAsia="宋体" w:cs="宋体"/>
                <w:b/>
                <w:color w:val="FF0000"/>
                <w:kern w:val="0"/>
                <w:sz w:val="21"/>
                <w:szCs w:val="21"/>
                <w:lang w:val="en-US" w:eastAsia="zh-CN" w:bidi="ar"/>
              </w:rPr>
              <w:t xml:space="preserve">4．要求两次翻跟斗的动作过程必须在起跑线和两米线（与起跑线相距 2 米的一根平行线）之间完成。否则，在记录的比赛时间上附加 120 秒。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w:t>
            </w:r>
            <w:r>
              <w:rPr>
                <w:rFonts w:hint="eastAsia" w:ascii="宋体" w:hAnsi="宋体" w:eastAsia="宋体" w:cs="宋体"/>
                <w:b/>
                <w:color w:val="000000"/>
                <w:kern w:val="0"/>
                <w:sz w:val="21"/>
                <w:szCs w:val="21"/>
                <w:lang w:val="en-US" w:eastAsia="zh-CN" w:bidi="ar"/>
              </w:rPr>
              <w:t xml:space="preserve">机器人“向前走 </w:t>
            </w:r>
            <w:r>
              <w:rPr>
                <w:rFonts w:hint="default" w:ascii="TimesNewRomanPS-BoldMT" w:hAnsi="TimesNewRomanPS-BoldMT" w:eastAsia="TimesNewRomanPS-BoldMT" w:cs="TimesNewRomanPS-BoldMT"/>
                <w:b/>
                <w:color w:val="000000"/>
                <w:kern w:val="0"/>
                <w:sz w:val="21"/>
                <w:szCs w:val="21"/>
                <w:lang w:val="en-US" w:eastAsia="zh-CN" w:bidi="ar"/>
              </w:rPr>
              <w:t xml:space="preserve">6 </w:t>
            </w:r>
            <w:r>
              <w:rPr>
                <w:rFonts w:hint="eastAsia" w:ascii="宋体" w:hAnsi="宋体" w:eastAsia="宋体" w:cs="宋体"/>
                <w:b/>
                <w:color w:val="000000"/>
                <w:kern w:val="0"/>
                <w:sz w:val="21"/>
                <w:szCs w:val="21"/>
                <w:lang w:val="en-US" w:eastAsia="zh-CN" w:bidi="ar"/>
              </w:rPr>
              <w:t xml:space="preserve">步”，指的是“立正→迈左脚迈右脚（第 1 步）→迈左脚迈右脚（第 2 步）→迈左脚迈右脚（第 3 步）→迈左脚迈右脚（第 4 步）→迈左脚迈右脚（第 5 步）→迈左脚并右脚（第 6 步／立正）”。同时禁止先迈右脚。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比赛过程</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四个阶段</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．未完成赛程时，中止比赛的机器人可能位于下列四个阶段中的任何一个阶段。这时，就会出现完成“阶段 </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”的机器人比完成“阶段 </w:t>
            </w: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”的机器人距离短的情况。因此，有必要区分机器人是在哪个阶段中止比赛的。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．比赛过程四个阶段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阶段 </w:t>
            </w: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：即前翻阶段。</w:t>
            </w:r>
            <w:r>
              <w:rPr>
                <w:rFonts w:hint="eastAsia" w:ascii="宋体" w:hAnsi="宋体" w:eastAsia="宋体" w:cs="宋体"/>
                <w:b/>
                <w:color w:val="000000"/>
                <w:kern w:val="0"/>
                <w:sz w:val="21"/>
                <w:szCs w:val="21"/>
                <w:lang w:val="en-US" w:eastAsia="zh-CN" w:bidi="ar"/>
              </w:rPr>
              <w:t xml:space="preserve">向前走 6 步，向前翻跟斗 6 次，再向前走 6 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⑵ 阶段 </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：即后翻阶段。</w:t>
            </w:r>
            <w:r>
              <w:rPr>
                <w:rFonts w:hint="eastAsia" w:ascii="宋体" w:hAnsi="宋体" w:eastAsia="宋体" w:cs="宋体"/>
                <w:b/>
                <w:color w:val="000000"/>
                <w:kern w:val="0"/>
                <w:sz w:val="21"/>
                <w:szCs w:val="21"/>
                <w:lang w:val="en-US" w:eastAsia="zh-CN" w:bidi="ar"/>
              </w:rPr>
              <w:t>向后翻跟斗 6 次</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⑶ 阶段 </w:t>
            </w: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：即前行阶段。向终点线走去；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⑷ 阶段 </w:t>
            </w: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：即全程。到达终点线，完成全程。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．比赛成绩排名：按阶段 </w:t>
            </w: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的顺序依次排名。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完成赛程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比赛成绩</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．启动：机器人紧贴起跑线</w:t>
            </w:r>
            <w:r>
              <w:rPr>
                <w:rFonts w:hint="eastAsia" w:ascii="宋体" w:hAnsi="宋体" w:eastAsia="宋体" w:cs="宋体"/>
                <w:b/>
                <w:color w:val="000000"/>
                <w:kern w:val="0"/>
                <w:sz w:val="21"/>
                <w:szCs w:val="21"/>
                <w:lang w:val="en-US" w:eastAsia="zh-CN" w:bidi="ar"/>
              </w:rPr>
              <w:t xml:space="preserve">（双足前端整个面与起跑线平行，且双足不能压线）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站在出发区内，裁判发令计时开始，启动机器人；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．终止：机器人双足都跨过终点线，计时结束，同时记录比赛时间；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．排名：比赛时间越短，则排名越靠前。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未完成赛程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比赛成绩</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．比赛过程中出现下列情况之一，结束比赛，记录“机器人走过的距离”和“走过这段距离所用的时间”，作为没有完成赛程的队伍比赛成绩的排名依据。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比赛过程中，机器人的某一只单足压线；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⑵ 比赛过程中，机器人的某一只单足出界；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⑶ 机器人行走时跌倒，自主方式爬不起来；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⑷ 在比赛过程中，机器人出现在原地不动的情况，停止时间超过 </w:t>
            </w:r>
            <w:r>
              <w:rPr>
                <w:rFonts w:hint="default" w:ascii="TimesNewRomanPSMT" w:hAnsi="TimesNewRomanPSMT" w:eastAsia="TimesNewRomanPSMT" w:cs="TimesNewRomanPSMT"/>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秒；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⑸ 比赛时间超过规定的最长比赛时间；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⑹ 裁判认定的其它结束比赛情况。</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走过的距离”，是指结束比赛时机器人接触地面部位离起跑线最近点到起跑线的垂直距离。发生出界情况时，踏出赛道边线的那只单足垂直投射到赛道边线上的投影面离起跑线最近点到起跑线的垂直距离，是出界时“机器人走过的距离”。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．在</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 xml:space="preserve">赛道的两条边线外侧，以 </w:t>
            </w:r>
            <w:r>
              <w:rPr>
                <w:rFonts w:hint="default" w:ascii="TimesNewRomanPSMT" w:hAnsi="TimesNewRomanPSMT" w:eastAsia="TimesNewRomanPSMT" w:cs="TimesNewRomanPSMT"/>
                <w:color w:val="000000"/>
                <w:kern w:val="0"/>
                <w:sz w:val="21"/>
                <w:szCs w:val="21"/>
                <w:lang w:val="en-US" w:eastAsia="zh-CN" w:bidi="ar"/>
              </w:rPr>
              <w:t xml:space="preserve">100mm </w:t>
            </w:r>
            <w:r>
              <w:rPr>
                <w:rFonts w:hint="eastAsia" w:ascii="宋体" w:hAnsi="宋体" w:eastAsia="宋体" w:cs="宋体"/>
                <w:color w:val="000000"/>
                <w:kern w:val="0"/>
                <w:sz w:val="21"/>
                <w:szCs w:val="21"/>
                <w:lang w:val="en-US" w:eastAsia="zh-CN" w:bidi="ar"/>
              </w:rPr>
              <w:t>为间隔，分别标识出与起跑线的距离数值，即</w:t>
            </w:r>
            <w:r>
              <w:rPr>
                <w:rFonts w:hint="default" w:ascii="TimesNewRomanPSMT" w:hAnsi="TimesNewRomanPSMT" w:eastAsia="TimesNewRomanPSMT" w:cs="TimesNewRomanPSMT"/>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（起跑线）、</w:t>
            </w:r>
            <w:r>
              <w:rPr>
                <w:rFonts w:hint="default" w:ascii="TimesNewRomanPSMT" w:hAnsi="TimesNewRomanPSMT" w:eastAsia="TimesNewRomanPSMT" w:cs="TimesNewRomanPSMT"/>
                <w:color w:val="000000"/>
                <w:kern w:val="0"/>
                <w:sz w:val="21"/>
                <w:szCs w:val="21"/>
                <w:lang w:val="en-US" w:eastAsia="zh-CN" w:bidi="ar"/>
              </w:rPr>
              <w:t>100mm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200mm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300mm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5800mm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5900mm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 xml:space="preserve">（终点线）。用于帮助认定和记录“机器人走过的距离”。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继续比赛</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 比赛过程中出现下列情况之一，可继续比赛，不影响比赛成绩。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行进过程中，机器人倒地，在没有出界的情况下，可自主爬起继续进行比赛；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 xml:space="preserve">⑵ 裁判认定的其它可以继续比赛情况。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中止比赛</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 比赛过程中出现下列情况之一，中止比赛，不计成绩。即比赛成绩计 </w:t>
            </w:r>
            <w:r>
              <w:rPr>
                <w:rFonts w:hint="default" w:ascii="TimesNewRomanPSMT" w:hAnsi="TimesNewRomanPSMT" w:eastAsia="TimesNewRomanPSMT" w:cs="TimesNewRomanPSMT"/>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裁判发令后，机器人在 </w:t>
            </w:r>
            <w:r>
              <w:rPr>
                <w:rFonts w:hint="default" w:ascii="TimesNewRomanPSMT" w:hAnsi="TimesNewRomanPSMT" w:eastAsia="TimesNewRomanPSMT" w:cs="TimesNewRomanPSMT"/>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秒内没有启动；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⑵ 在行进过程中，机器人明显使用非双足直立行走方式行进；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⑶ 在比赛过程中，参赛队员触碰到机器人；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b/>
                <w:color w:val="000000"/>
                <w:kern w:val="0"/>
                <w:sz w:val="21"/>
                <w:szCs w:val="21"/>
                <w:lang w:val="en-US" w:eastAsia="zh-CN" w:bidi="ar"/>
              </w:rPr>
              <w:t>⑷ 裁判吹响口哨后，参赛者开始启动机器人，手离开后不能再碰机器人，否则中止比赛。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压 线</w:t>
            </w:r>
          </w:p>
        </w:tc>
        <w:tc>
          <w:tcPr>
            <w:tcW w:w="715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．压线：行进过程中，机器人单足部分压上赛道边线，认定为压线。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出 界</w:t>
            </w:r>
          </w:p>
        </w:tc>
        <w:tc>
          <w:tcPr>
            <w:tcW w:w="715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．出界：行进过程中，机器人单足整体踏出赛道边线，认定为出界。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重点提醒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重要提示</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．规则中指出“比赛过程的四个阶段”；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．规则中指出“禁止使用传感器”；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．规则中指出“禁止使用弹性连接件”。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．要求两次翻跟斗的动作过程必须在起跑线和两米线（与起跑线相距 2 米的一根平行线）之间完成。否则，在记录的比赛时间上附加 10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重点变化</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．将竞步比赛场地图纸和体操比赛场地图纸直接平铺在比赛场馆的室内地面上，其地面的材质以比赛场馆的室内地面为准。即从 </w:t>
            </w:r>
            <w:r>
              <w:rPr>
                <w:rFonts w:hint="default" w:ascii="TimesNewRomanPSMT" w:hAnsi="TimesNewRomanPSMT" w:eastAsia="TimesNewRomanPSMT" w:cs="TimesNewRomanPSMT"/>
                <w:color w:val="000000"/>
                <w:kern w:val="0"/>
                <w:sz w:val="21"/>
                <w:szCs w:val="21"/>
                <w:lang w:val="en-US" w:eastAsia="zh-CN" w:bidi="ar"/>
              </w:rPr>
              <w:t xml:space="preserve">2018 </w:t>
            </w:r>
            <w:r>
              <w:rPr>
                <w:rFonts w:hint="eastAsia" w:ascii="宋体" w:hAnsi="宋体" w:eastAsia="宋体" w:cs="宋体"/>
                <w:color w:val="000000"/>
                <w:kern w:val="0"/>
                <w:sz w:val="21"/>
                <w:szCs w:val="21"/>
                <w:lang w:val="en-US" w:eastAsia="zh-CN" w:bidi="ar"/>
              </w:rPr>
              <w:t xml:space="preserve">年开始使用喷绘图纸（其材质和搬运比赛场地图纸的材质相同），不再使用木制场地。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．在竞步比赛场地的起跑线前增设 </w:t>
            </w:r>
            <w:r>
              <w:rPr>
                <w:rFonts w:hint="default" w:ascii="TimesNewRomanPSMT" w:hAnsi="TimesNewRomanPSMT" w:eastAsia="TimesNewRomanPSMT" w:cs="TimesNewRomanPSMT"/>
                <w:color w:val="000000"/>
                <w:kern w:val="0"/>
                <w:sz w:val="21"/>
                <w:szCs w:val="21"/>
                <w:lang w:val="en-US" w:eastAsia="zh-CN" w:bidi="ar"/>
              </w:rPr>
              <w:t xml:space="preserve">220mm×400mm </w:t>
            </w:r>
            <w:r>
              <w:rPr>
                <w:rFonts w:hint="eastAsia" w:ascii="宋体" w:hAnsi="宋体" w:eastAsia="宋体" w:cs="宋体"/>
                <w:color w:val="000000"/>
                <w:kern w:val="0"/>
                <w:sz w:val="21"/>
                <w:szCs w:val="21"/>
                <w:lang w:val="en-US" w:eastAsia="zh-CN" w:bidi="ar"/>
              </w:rPr>
              <w:t xml:space="preserve">的长方形出发区，出发区的一个长边与起跑线重叠、出发区位于起跑线的居中位置，如图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所示。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．参加单电机竞步赛、窄足赛和交叉足赛的机器人，其双足前端紧贴起跑线</w:t>
            </w:r>
            <w:r>
              <w:rPr>
                <w:rFonts w:hint="eastAsia" w:ascii="宋体" w:hAnsi="宋体" w:eastAsia="宋体" w:cs="宋体"/>
                <w:b/>
                <w:color w:val="000000"/>
                <w:kern w:val="0"/>
                <w:sz w:val="21"/>
                <w:szCs w:val="21"/>
                <w:lang w:val="en-US" w:eastAsia="zh-CN" w:bidi="ar"/>
              </w:rPr>
              <w:t>（双足前端整个面与起跑线平行，且双足不能压线）</w:t>
            </w:r>
            <w:r>
              <w:rPr>
                <w:rFonts w:hint="eastAsia" w:ascii="宋体" w:hAnsi="宋体" w:eastAsia="宋体" w:cs="宋体"/>
                <w:color w:val="000000"/>
                <w:kern w:val="0"/>
                <w:sz w:val="21"/>
                <w:szCs w:val="21"/>
                <w:lang w:val="en-US" w:eastAsia="zh-CN" w:bidi="ar"/>
              </w:rPr>
              <w:t xml:space="preserve">立正姿势站立在出发区内，等待裁判发令同时计时开始，参赛队员启动机器人开始比赛。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．窄足机器人和交叉足机器人，与脚底板相连的舵机允许选择平放或立放在脚底板上。即与脚底板相连的舵机要么选择平放在脚底板上、要么选择立放在脚底板上。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．规则明确指出机器人“向前走 </w:t>
            </w:r>
            <w:r>
              <w:rPr>
                <w:rFonts w:hint="default" w:ascii="TimesNewRomanPSMT" w:hAnsi="TimesNewRomanPSMT" w:eastAsia="TimesNewRomanPSMT" w:cs="TimesNewRomanPSMT"/>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步”，指的是“立正→迈左脚迈右脚（第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步）→迈左脚迈右脚（第 </w:t>
            </w:r>
            <w:r>
              <w:rPr>
                <w:rFonts w:hint="default" w:ascii="TimesNewRomanPSMT" w:hAnsi="TimesNewRomanPSMT" w:eastAsia="TimesNewRomanPSMT" w:cs="TimesNewRomanPSMT"/>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步）→迈左脚迈右脚（第 </w:t>
            </w:r>
            <w:r>
              <w:rPr>
                <w:rFonts w:hint="default" w:ascii="TimesNewRomanPSMT" w:hAnsi="TimesNewRomanPSMT" w:eastAsia="TimesNewRomanPSMT" w:cs="TimesNewRomanPSMT"/>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步）→迈左脚迈右脚（第 </w:t>
            </w:r>
            <w:r>
              <w:rPr>
                <w:rFonts w:hint="default" w:ascii="TimesNewRomanPSMT" w:hAnsi="TimesNewRomanPSMT" w:eastAsia="TimesNewRomanPSMT" w:cs="TimesNewRomanPSMT"/>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步）→</w:t>
            </w:r>
            <w:r>
              <w:rPr>
                <w:rFonts w:hint="eastAsia" w:ascii="宋体" w:hAnsi="宋体" w:eastAsia="宋体" w:cs="宋体"/>
                <w:b/>
                <w:color w:val="000000"/>
                <w:kern w:val="0"/>
                <w:sz w:val="21"/>
                <w:szCs w:val="21"/>
                <w:lang w:val="en-US" w:eastAsia="zh-CN" w:bidi="ar"/>
              </w:rPr>
              <w:t xml:space="preserve">迈左脚迈右脚（第 </w:t>
            </w:r>
            <w:r>
              <w:rPr>
                <w:rFonts w:hint="default" w:ascii="TimesNewRomanPS-BoldMT" w:hAnsi="TimesNewRomanPS-BoldMT" w:eastAsia="TimesNewRomanPS-BoldMT" w:cs="TimesNewRomanPS-BoldMT"/>
                <w:b/>
                <w:color w:val="000000"/>
                <w:kern w:val="0"/>
                <w:sz w:val="21"/>
                <w:szCs w:val="21"/>
                <w:lang w:val="en-US" w:eastAsia="zh-CN" w:bidi="ar"/>
              </w:rPr>
              <w:t xml:space="preserve">5 </w:t>
            </w:r>
            <w:r>
              <w:rPr>
                <w:rFonts w:hint="eastAsia" w:ascii="宋体" w:hAnsi="宋体" w:eastAsia="宋体" w:cs="宋体"/>
                <w:b/>
                <w:color w:val="000000"/>
                <w:kern w:val="0"/>
                <w:sz w:val="21"/>
                <w:szCs w:val="21"/>
                <w:lang w:val="en-US" w:eastAsia="zh-CN" w:bidi="ar"/>
              </w:rPr>
              <w:t xml:space="preserve">步）→迈左脚并右脚（第 </w:t>
            </w:r>
            <w:r>
              <w:rPr>
                <w:rFonts w:hint="default" w:ascii="TimesNewRomanPS-BoldMT" w:hAnsi="TimesNewRomanPS-BoldMT" w:eastAsia="TimesNewRomanPS-BoldMT" w:cs="TimesNewRomanPS-BoldMT"/>
                <w:b/>
                <w:color w:val="000000"/>
                <w:kern w:val="0"/>
                <w:sz w:val="21"/>
                <w:szCs w:val="21"/>
                <w:lang w:val="en-US" w:eastAsia="zh-CN" w:bidi="ar"/>
              </w:rPr>
              <w:t xml:space="preserve">6 </w:t>
            </w:r>
            <w:r>
              <w:rPr>
                <w:rFonts w:hint="eastAsia" w:ascii="宋体" w:hAnsi="宋体" w:eastAsia="宋体" w:cs="宋体"/>
                <w:b/>
                <w:color w:val="000000"/>
                <w:kern w:val="0"/>
                <w:sz w:val="21"/>
                <w:szCs w:val="21"/>
                <w:lang w:val="en-US" w:eastAsia="zh-CN" w:bidi="ar"/>
              </w:rPr>
              <w:t>步／立正）</w:t>
            </w:r>
            <w:r>
              <w:rPr>
                <w:rFonts w:hint="eastAsia" w:ascii="宋体" w:hAnsi="宋体" w:eastAsia="宋体" w:cs="宋体"/>
                <w:color w:val="000000"/>
                <w:kern w:val="0"/>
                <w:sz w:val="21"/>
                <w:szCs w:val="21"/>
                <w:lang w:val="en-US" w:eastAsia="zh-CN" w:bidi="ar"/>
              </w:rPr>
              <w:t>”。同时禁止先迈右脚。</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赛前检查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检查内容</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．目测检查：机器人的足部结构、关节构造；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．整体尺寸：不超过（长）250mm×（宽）200mm×（高）300mm；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．头部尺寸：不超过（长）250mm×（宽）120mm；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4．单足尺寸：不超过（长）150mm ×（宽）200mm；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．整体重量：不超过２Kg；</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6．其它检查：裁判认定需要检查的其它指标。</w:t>
            </w:r>
          </w:p>
        </w:tc>
      </w:tr>
    </w:tbl>
    <w:p>
      <w:pPr>
        <w:spacing w:line="360" w:lineRule="auto"/>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193EBE-D09E-4455-8AC9-89FE9F3F18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23C93D-EB7F-4F14-AD15-3DFE4F9AC786}"/>
  </w:font>
  <w:font w:name="仿宋">
    <w:panose1 w:val="02010609060101010101"/>
    <w:charset w:val="86"/>
    <w:family w:val="auto"/>
    <w:pitch w:val="default"/>
    <w:sig w:usb0="800002BF" w:usb1="38CF7CFA" w:usb2="00000016" w:usb3="00000000" w:csb0="00040001" w:csb1="00000000"/>
    <w:embedRegular r:id="rId3" w:fontKey="{C37636C2-DF86-4FEE-9AA0-AB9B4B3219E8}"/>
  </w:font>
  <w:font w:name="TimesNewRomanPSMT">
    <w:altName w:val="Times New Roman"/>
    <w:panose1 w:val="00000000000000000000"/>
    <w:charset w:val="00"/>
    <w:family w:val="auto"/>
    <w:pitch w:val="default"/>
    <w:sig w:usb0="00000000" w:usb1="00000000" w:usb2="00000000" w:usb3="00000000" w:csb0="00040001" w:csb1="00000000"/>
    <w:embedRegular r:id="rId4" w:fontKey="{9D0B90EC-4B62-47B8-ACCA-D29A1DDC5F08}"/>
  </w:font>
  <w:font w:name="TimesNewRomanPS-BoldMT">
    <w:altName w:val="Adobe 宋体 Std L"/>
    <w:panose1 w:val="00000000000000000000"/>
    <w:charset w:val="00"/>
    <w:family w:val="auto"/>
    <w:pitch w:val="default"/>
    <w:sig w:usb0="00000000" w:usb1="00000000" w:usb2="00000000" w:usb3="00000000" w:csb0="00040001" w:csb1="00000000"/>
    <w:embedRegular r:id="rId5" w:fontKey="{BB38709C-C365-4EAA-A340-E2E4D160BDC8}"/>
  </w:font>
  <w:font w:name="Adobe 宋体 Std L">
    <w:panose1 w:val="02020300000000000000"/>
    <w:charset w:val="86"/>
    <w:family w:val="auto"/>
    <w:pitch w:val="default"/>
    <w:sig w:usb0="00000001" w:usb1="0A0F1810" w:usb2="00000016" w:usb3="00000000" w:csb0="00060007" w:csb1="00000000"/>
  </w:font>
  <w:font w:name="方正仿宋_GB2312">
    <w:panose1 w:val="02000000000000000000"/>
    <w:charset w:val="86"/>
    <w:family w:val="auto"/>
    <w:pitch w:val="default"/>
    <w:sig w:usb0="A00002BF" w:usb1="184F6CFA" w:usb2="00000012" w:usb3="00000000" w:csb0="00040001" w:csb1="00000000"/>
    <w:embedRegular r:id="rId6" w:fontKey="{F0051166-3B8B-4AB0-B63E-39539E4E6DE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064D6"/>
    <w:multiLevelType w:val="singleLevel"/>
    <w:tmpl w:val="5AE064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06DC1"/>
    <w:rsid w:val="016126A1"/>
    <w:rsid w:val="270920DD"/>
    <w:rsid w:val="31BC04B3"/>
    <w:rsid w:val="45906DC1"/>
    <w:rsid w:val="735706F2"/>
    <w:rsid w:val="7DC8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2021-11-08T00:55:00Z</dcterms:created>
  <dc:creator>高</dc:creator>
  <cp:lastModifiedBy>高</cp:lastModifiedBy>
  <dcterms:modified xsi:type="dcterms:W3CDTF">2021-11-08T23:56:14Z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62512396B618433DAD4BC959279B4255</vt:lpwstr>
  </property>
</Properties>
</file>